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166B6" w:rsidRDefault="009848B0" w:rsidP="005166B6">
      <w:pPr>
        <w:pStyle w:val="RefAgency"/>
        <w:tabs>
          <w:tab w:val="left" w:pos="1277"/>
        </w:tabs>
        <w:rPr>
          <w:noProof/>
        </w:rPr>
      </w:pPr>
      <w:r>
        <w:fldChar w:fldCharType="begin"/>
      </w:r>
      <w:r>
        <w:instrText xml:space="preserve"> DATE \@ "dd MMMM yyyy" </w:instrText>
      </w:r>
      <w:r>
        <w:fldChar w:fldCharType="separate"/>
      </w:r>
      <w:r w:rsidR="00DF40E3">
        <w:rPr>
          <w:noProof/>
        </w:rPr>
        <w:t>29 March 2018</w:t>
      </w:r>
      <w:r>
        <w:fldChar w:fldCharType="end"/>
      </w:r>
      <w:r>
        <w:br/>
      </w:r>
      <w:r w:rsidRPr="005166B6">
        <w:rPr>
          <w:noProof/>
        </w:rPr>
        <w:fldChar w:fldCharType="begin"/>
      </w:r>
      <w:r w:rsidRPr="005166B6">
        <w:rPr>
          <w:noProof/>
        </w:rPr>
        <w:instrText xml:space="preserve"> IF </w:instrText>
      </w:r>
      <w:r>
        <w:rPr>
          <w:noProof/>
        </w:rPr>
        <w:fldChar w:fldCharType="begin"/>
      </w:r>
      <w:r>
        <w:rPr>
          <w:noProof/>
        </w:rPr>
        <w:instrText xml:space="preserve"> DOCPROPERTY "DM_emea_doc_ref_id"  \* MERGEFORMAT </w:instrText>
      </w:r>
      <w:r>
        <w:rPr>
          <w:noProof/>
        </w:rPr>
        <w:fldChar w:fldCharType="separate"/>
      </w:r>
      <w:r w:rsidRPr="005166B6">
        <w:rPr>
          <w:noProof/>
        </w:rPr>
        <w:instrText>EMA/167192/2018</w:instrText>
      </w:r>
      <w:r>
        <w:rPr>
          <w:noProof/>
        </w:rPr>
        <w:fldChar w:fldCharType="end"/>
      </w:r>
      <w:r w:rsidRPr="005166B6">
        <w:rPr>
          <w:noProof/>
        </w:rPr>
        <w:instrText xml:space="preserve"> &lt;&gt; "Error*"</w:instrText>
      </w:r>
      <w:r>
        <w:rPr>
          <w:noProof/>
        </w:rPr>
        <w:fldChar w:fldCharType="begin"/>
      </w:r>
      <w:r>
        <w:rPr>
          <w:noProof/>
        </w:rPr>
        <w:instrText xml:space="preserve"> DOCPROPERTY "DM_emea_doc_ref_id"  \* MERGEFORMAT </w:instrText>
      </w:r>
      <w:r>
        <w:rPr>
          <w:noProof/>
        </w:rPr>
        <w:fldChar w:fldCharType="separate"/>
      </w:r>
      <w:r>
        <w:rPr>
          <w:noProof/>
        </w:rPr>
        <w:instrText>EMA/167192/2018</w:instrText>
      </w:r>
      <w:r>
        <w:rPr>
          <w:noProof/>
        </w:rPr>
        <w:fldChar w:fldCharType="end"/>
      </w:r>
      <w:r w:rsidRPr="005166B6">
        <w:rPr>
          <w:noProof/>
        </w:rPr>
        <w:instrText xml:space="preserve"> \* MERGEFORMAT </w:instrText>
      </w:r>
      <w:r w:rsidRPr="005166B6">
        <w:rPr>
          <w:noProof/>
        </w:rPr>
        <w:fldChar w:fldCharType="separate"/>
      </w:r>
      <w:r>
        <w:rPr>
          <w:noProof/>
        </w:rPr>
        <w:t>EMA/167192/2018</w:t>
      </w:r>
      <w:r w:rsidRPr="005166B6">
        <w:rPr>
          <w:noProof/>
        </w:rPr>
        <w:fldChar w:fldCharType="end"/>
      </w:r>
    </w:p>
    <w:p w:rsidR="005166B6" w:rsidRDefault="009848B0" w:rsidP="005166B6">
      <w:pPr>
        <w:pStyle w:val="DoctitleAgency"/>
        <w:rPr>
          <w:noProof/>
        </w:rPr>
      </w:pPr>
      <w:r>
        <w:rPr>
          <w:noProof/>
        </w:rPr>
        <w:t>Industry Stakeholder meeting/webinar on Brexit and operation of the centralised procedure for human medicinal products</w:t>
      </w:r>
    </w:p>
    <w:p w:rsidR="005166B6" w:rsidRDefault="009848B0" w:rsidP="005166B6">
      <w:pPr>
        <w:pStyle w:val="DocsubtitleAgency"/>
      </w:pPr>
      <w:r>
        <w:t>23 March 2018</w:t>
      </w:r>
    </w:p>
    <w:p w:rsidR="003021DB" w:rsidRPr="003021DB" w:rsidRDefault="003021DB" w:rsidP="003021DB">
      <w:pPr>
        <w:pStyle w:val="BodytextAgency"/>
        <w:pBdr>
          <w:bottom w:val="single" w:sz="4" w:space="1" w:color="auto"/>
        </w:pBdr>
        <w:rPr>
          <w:b/>
        </w:rPr>
      </w:pPr>
      <w:r w:rsidRPr="003021DB">
        <w:rPr>
          <w:b/>
        </w:rPr>
        <w:t>General notes</w:t>
      </w:r>
      <w:r w:rsidR="00171AC1">
        <w:rPr>
          <w:b/>
        </w:rPr>
        <w:t xml:space="preserve"> </w:t>
      </w:r>
      <w:r w:rsidR="00171AC1" w:rsidRPr="00171AC1">
        <w:rPr>
          <w:b/>
          <w:i/>
        </w:rPr>
        <w:t>(see also slides circulated on 28/03)</w:t>
      </w:r>
    </w:p>
    <w:p w:rsidR="003021DB" w:rsidRPr="003021DB" w:rsidRDefault="003021DB" w:rsidP="003021DB">
      <w:pPr>
        <w:rPr>
          <w:rFonts w:ascii="Verdana" w:hAnsi="Verdana"/>
          <w:sz w:val="18"/>
          <w:szCs w:val="18"/>
        </w:rPr>
      </w:pPr>
      <w:r w:rsidRPr="003021DB">
        <w:rPr>
          <w:rFonts w:ascii="Verdana" w:hAnsi="Verdana"/>
          <w:b/>
          <w:bCs/>
          <w:sz w:val="18"/>
          <w:szCs w:val="18"/>
        </w:rPr>
        <w:t>Withdrawal agreement / transition period / future relationship (Olga Solomon, DG Santé)</w:t>
      </w:r>
    </w:p>
    <w:p w:rsidR="003021DB" w:rsidRPr="003021DB" w:rsidRDefault="003021DB" w:rsidP="003021DB">
      <w:pPr>
        <w:rPr>
          <w:rFonts w:ascii="Verdana" w:hAnsi="Verdana"/>
          <w:sz w:val="18"/>
          <w:szCs w:val="18"/>
        </w:rPr>
      </w:pPr>
      <w:r w:rsidRPr="003021DB">
        <w:rPr>
          <w:rFonts w:ascii="Verdana" w:hAnsi="Verdana"/>
          <w:sz w:val="18"/>
          <w:szCs w:val="18"/>
        </w:rPr>
        <w:t>Working bottom line UK will become a 3rd country</w:t>
      </w:r>
      <w:r w:rsidR="005853EF">
        <w:rPr>
          <w:rFonts w:ascii="Verdana" w:hAnsi="Verdana"/>
          <w:sz w:val="18"/>
          <w:szCs w:val="18"/>
        </w:rPr>
        <w:t xml:space="preserve">, </w:t>
      </w:r>
      <w:r w:rsidR="005853EF" w:rsidRPr="005853EF">
        <w:rPr>
          <w:rFonts w:ascii="Verdana" w:hAnsi="Verdana"/>
          <w:sz w:val="18"/>
          <w:szCs w:val="18"/>
        </w:rPr>
        <w:t>from 30 March 2019, get prepared for that</w:t>
      </w:r>
      <w:r w:rsidRPr="003021DB">
        <w:rPr>
          <w:rFonts w:ascii="Verdana" w:hAnsi="Verdana"/>
          <w:sz w:val="18"/>
          <w:szCs w:val="18"/>
        </w:rPr>
        <w:t>.</w:t>
      </w:r>
      <w:r w:rsidR="00ED14FE">
        <w:rPr>
          <w:rFonts w:ascii="Verdana" w:hAnsi="Verdana"/>
          <w:sz w:val="18"/>
          <w:szCs w:val="18"/>
        </w:rPr>
        <w:t xml:space="preserve"> </w:t>
      </w:r>
      <w:r w:rsidR="00ED14FE" w:rsidRPr="00ED14FE">
        <w:rPr>
          <w:rFonts w:ascii="Verdana" w:hAnsi="Verdana"/>
          <w:sz w:val="18"/>
          <w:szCs w:val="18"/>
        </w:rPr>
        <w:t xml:space="preserve">It is a joint responsibility on companies and regulators to address the challenge and opportunity for EU MS to take over workload of MHRA. Issues are more complex for nationally authorised products, given the higher volume, but HMA and CMDh are working on this. </w:t>
      </w:r>
      <w:r w:rsidRPr="003021DB">
        <w:rPr>
          <w:rFonts w:ascii="Verdana" w:hAnsi="Verdana"/>
          <w:sz w:val="18"/>
          <w:szCs w:val="18"/>
        </w:rPr>
        <w:t>Withdrawal agreement is winding down of UK membership. Transition period the full acquis will apply (e.g. MAH adopted in this period will also apply to the UK, or any other changes). UK will no longer participate in the EMA management board, CMDh and CHMP, no longer act as leading assessment authority (RMS, Rapporteur) and full role of</w:t>
      </w:r>
      <w:r w:rsidR="00ED14FE">
        <w:rPr>
          <w:rFonts w:ascii="Verdana" w:hAnsi="Verdana"/>
          <w:sz w:val="18"/>
          <w:szCs w:val="18"/>
        </w:rPr>
        <w:t xml:space="preserve"> court of Justice would apply. However</w:t>
      </w:r>
      <w:r w:rsidRPr="003021DB">
        <w:rPr>
          <w:rFonts w:ascii="Verdana" w:hAnsi="Verdana"/>
          <w:sz w:val="18"/>
          <w:szCs w:val="18"/>
        </w:rPr>
        <w:t>, the political progress still ongoing and agreement still ha</w:t>
      </w:r>
      <w:r w:rsidRPr="003021DB">
        <w:rPr>
          <w:rFonts w:ascii="Verdana" w:hAnsi="Verdana"/>
          <w:color w:val="1F497D"/>
          <w:sz w:val="18"/>
          <w:szCs w:val="18"/>
        </w:rPr>
        <w:t xml:space="preserve">s </w:t>
      </w:r>
      <w:r w:rsidRPr="003021DB">
        <w:rPr>
          <w:rFonts w:ascii="Verdana" w:hAnsi="Verdana"/>
          <w:sz w:val="18"/>
          <w:szCs w:val="18"/>
        </w:rPr>
        <w:t>to be ratified. Do NOT rely on the transition period for preparedness/business planning (expected October 2018).</w:t>
      </w:r>
    </w:p>
    <w:p w:rsidR="003021DB" w:rsidRPr="003021DB" w:rsidRDefault="003021DB" w:rsidP="003021DB">
      <w:pPr>
        <w:rPr>
          <w:rFonts w:ascii="Verdana" w:hAnsi="Verdana"/>
          <w:sz w:val="18"/>
          <w:szCs w:val="18"/>
        </w:rPr>
      </w:pPr>
    </w:p>
    <w:p w:rsidR="003021DB" w:rsidRPr="003021DB" w:rsidRDefault="003021DB" w:rsidP="003021DB">
      <w:pPr>
        <w:rPr>
          <w:rFonts w:ascii="Verdana" w:hAnsi="Verdana"/>
          <w:b/>
          <w:bCs/>
          <w:sz w:val="18"/>
          <w:szCs w:val="18"/>
        </w:rPr>
      </w:pPr>
      <w:r w:rsidRPr="003021DB">
        <w:rPr>
          <w:rFonts w:ascii="Verdana" w:hAnsi="Verdana"/>
          <w:b/>
          <w:bCs/>
          <w:sz w:val="18"/>
          <w:szCs w:val="18"/>
        </w:rPr>
        <w:t>Submissions of BREXIT changes (Tony</w:t>
      </w:r>
      <w:r w:rsidRPr="003021DB">
        <w:rPr>
          <w:rFonts w:ascii="Verdana" w:hAnsi="Verdana"/>
          <w:b/>
          <w:bCs/>
          <w:color w:val="1F497D"/>
          <w:sz w:val="18"/>
          <w:szCs w:val="18"/>
        </w:rPr>
        <w:t xml:space="preserve"> </w:t>
      </w:r>
      <w:r w:rsidRPr="003021DB">
        <w:rPr>
          <w:rFonts w:ascii="Verdana" w:hAnsi="Verdana"/>
          <w:b/>
          <w:bCs/>
          <w:sz w:val="18"/>
          <w:szCs w:val="18"/>
        </w:rPr>
        <w:t>Humphreys, Head of Scientific Committees Regulatory Science Strategy)</w:t>
      </w:r>
    </w:p>
    <w:p w:rsidR="003021DB" w:rsidRPr="003021DB" w:rsidRDefault="003021DB" w:rsidP="003021DB">
      <w:pPr>
        <w:textAlignment w:val="center"/>
        <w:rPr>
          <w:rFonts w:ascii="Verdana" w:hAnsi="Verdana"/>
          <w:sz w:val="18"/>
          <w:szCs w:val="18"/>
        </w:rPr>
      </w:pPr>
      <w:r w:rsidRPr="003021DB">
        <w:rPr>
          <w:rFonts w:ascii="Verdana" w:hAnsi="Verdana"/>
          <w:sz w:val="18"/>
          <w:szCs w:val="18"/>
          <w:lang w:val="en-US"/>
        </w:rPr>
        <w:t xml:space="preserve">10% of EMA resource has been diverted to focus on relocation activities. </w:t>
      </w:r>
      <w:r w:rsidRPr="003021DB">
        <w:rPr>
          <w:rFonts w:ascii="Verdana" w:hAnsi="Verdana"/>
          <w:sz w:val="18"/>
          <w:szCs w:val="18"/>
        </w:rPr>
        <w:t>Expected staff loss is expected to be quite high. For EMA this is the main uncertainty in context of relocation. Please avoid Q1-2019 in submitting variations, no guarantee the system will be as efficient as one expects it to be.</w:t>
      </w:r>
    </w:p>
    <w:p w:rsidR="003021DB" w:rsidRPr="003021DB" w:rsidRDefault="003021DB" w:rsidP="003021DB">
      <w:pPr>
        <w:rPr>
          <w:rFonts w:ascii="Verdana" w:hAnsi="Verdana"/>
          <w:sz w:val="18"/>
          <w:szCs w:val="18"/>
        </w:rPr>
      </w:pPr>
    </w:p>
    <w:p w:rsidR="003021DB" w:rsidRPr="003021DB" w:rsidRDefault="003021DB" w:rsidP="003021DB">
      <w:pPr>
        <w:rPr>
          <w:rFonts w:ascii="Verdana" w:hAnsi="Verdana"/>
          <w:b/>
          <w:bCs/>
          <w:sz w:val="18"/>
          <w:szCs w:val="18"/>
        </w:rPr>
      </w:pPr>
      <w:r w:rsidRPr="003021DB">
        <w:rPr>
          <w:rFonts w:ascii="Verdana" w:hAnsi="Verdana"/>
          <w:b/>
          <w:bCs/>
          <w:sz w:val="18"/>
          <w:szCs w:val="18"/>
        </w:rPr>
        <w:t>Re-distribution of Rapporteurships (Monica</w:t>
      </w:r>
      <w:r w:rsidRPr="003021DB">
        <w:rPr>
          <w:rFonts w:ascii="Verdana" w:hAnsi="Verdana"/>
          <w:b/>
          <w:bCs/>
          <w:color w:val="1F497D"/>
          <w:sz w:val="18"/>
          <w:szCs w:val="18"/>
        </w:rPr>
        <w:t xml:space="preserve"> </w:t>
      </w:r>
      <w:r w:rsidRPr="003021DB">
        <w:rPr>
          <w:rFonts w:ascii="Verdana" w:hAnsi="Verdana"/>
          <w:b/>
          <w:bCs/>
          <w:sz w:val="18"/>
          <w:szCs w:val="18"/>
        </w:rPr>
        <w:t>Dias, Policy and Crisis Management)</w:t>
      </w:r>
    </w:p>
    <w:p w:rsidR="003021DB" w:rsidRPr="003021DB" w:rsidRDefault="003021DB" w:rsidP="003021DB">
      <w:pPr>
        <w:rPr>
          <w:rFonts w:ascii="Verdana" w:hAnsi="Verdana"/>
          <w:sz w:val="18"/>
          <w:szCs w:val="18"/>
        </w:rPr>
      </w:pPr>
      <w:r w:rsidRPr="003021DB">
        <w:rPr>
          <w:rFonts w:ascii="Verdana" w:hAnsi="Verdana"/>
          <w:sz w:val="18"/>
          <w:szCs w:val="18"/>
          <w:u w:val="single"/>
        </w:rPr>
        <w:t>Methodology</w:t>
      </w:r>
      <w:r w:rsidRPr="003021DB">
        <w:rPr>
          <w:rFonts w:ascii="Verdana" w:hAnsi="Verdana"/>
          <w:sz w:val="18"/>
          <w:szCs w:val="18"/>
        </w:rPr>
        <w:t xml:space="preserve"> of re-allocation building on existing knowledge: 1) procedures are either allocated to the current Co-Rapporteur, 2) peer reviewer of the initial MAA</w:t>
      </w:r>
      <w:r w:rsidRPr="003021DB">
        <w:rPr>
          <w:rFonts w:ascii="Verdana" w:hAnsi="Verdana"/>
          <w:color w:val="1F497D"/>
          <w:sz w:val="18"/>
          <w:szCs w:val="18"/>
        </w:rPr>
        <w:t xml:space="preserve">, </w:t>
      </w:r>
      <w:r w:rsidRPr="003021DB">
        <w:rPr>
          <w:rFonts w:ascii="Verdana" w:hAnsi="Verdana"/>
          <w:sz w:val="18"/>
          <w:szCs w:val="18"/>
        </w:rPr>
        <w:t>allocation expertise based on ATC code. In cases of different products of a MAH with same INN, these will be allocated to the same Rapporteur.</w:t>
      </w:r>
      <w:r w:rsidRPr="003021DB">
        <w:rPr>
          <w:rFonts w:ascii="Verdana" w:hAnsi="Verdana"/>
          <w:color w:val="1F497D"/>
          <w:sz w:val="18"/>
          <w:szCs w:val="18"/>
        </w:rPr>
        <w:t xml:space="preserve"> </w:t>
      </w:r>
    </w:p>
    <w:p w:rsidR="003021DB" w:rsidRPr="003021DB" w:rsidRDefault="003021DB" w:rsidP="003021DB">
      <w:pPr>
        <w:rPr>
          <w:rFonts w:ascii="Verdana" w:hAnsi="Verdana"/>
          <w:sz w:val="18"/>
          <w:szCs w:val="18"/>
        </w:rPr>
      </w:pPr>
    </w:p>
    <w:p w:rsidR="003021DB" w:rsidRPr="003021DB" w:rsidRDefault="003021DB" w:rsidP="003021DB">
      <w:pPr>
        <w:rPr>
          <w:rFonts w:ascii="Verdana" w:hAnsi="Verdana"/>
          <w:sz w:val="18"/>
          <w:szCs w:val="18"/>
        </w:rPr>
      </w:pPr>
      <w:r w:rsidRPr="003021DB">
        <w:rPr>
          <w:rFonts w:ascii="Verdana" w:hAnsi="Verdana"/>
          <w:sz w:val="18"/>
          <w:szCs w:val="18"/>
          <w:u w:val="single"/>
        </w:rPr>
        <w:t>Implementation:</w:t>
      </w:r>
      <w:r w:rsidRPr="003021DB">
        <w:rPr>
          <w:rFonts w:ascii="Verdana" w:hAnsi="Verdana"/>
          <w:sz w:val="18"/>
          <w:szCs w:val="18"/>
        </w:rPr>
        <w:t> allocation has been completed.</w:t>
      </w:r>
      <w:r w:rsidRPr="003021DB">
        <w:rPr>
          <w:rFonts w:ascii="Verdana" w:hAnsi="Verdana"/>
          <w:color w:val="1F497D"/>
          <w:sz w:val="18"/>
          <w:szCs w:val="18"/>
        </w:rPr>
        <w:t xml:space="preserve"> C</w:t>
      </w:r>
      <w:r w:rsidRPr="003021DB">
        <w:rPr>
          <w:rFonts w:ascii="Verdana" w:hAnsi="Verdana"/>
          <w:sz w:val="18"/>
          <w:szCs w:val="18"/>
        </w:rPr>
        <w:t>ompanies will be informed of the new Rapporteur allocation on April 30, 2018. UK will remain lead until March 2019, in the meantime the new Rapporteur will work together with UK in parallel as shadow Rapporteur, after which the new Rapp. will take over. </w:t>
      </w:r>
    </w:p>
    <w:p w:rsidR="003021DB" w:rsidRPr="003021DB" w:rsidRDefault="003021DB" w:rsidP="003021DB">
      <w:pPr>
        <w:rPr>
          <w:rFonts w:ascii="Verdana" w:hAnsi="Verdana"/>
          <w:sz w:val="18"/>
          <w:szCs w:val="18"/>
        </w:rPr>
      </w:pPr>
    </w:p>
    <w:p w:rsidR="003021DB" w:rsidRPr="003021DB" w:rsidRDefault="003021DB" w:rsidP="003021DB">
      <w:pPr>
        <w:rPr>
          <w:rFonts w:ascii="Verdana" w:hAnsi="Verdana"/>
          <w:sz w:val="18"/>
          <w:szCs w:val="18"/>
        </w:rPr>
      </w:pPr>
      <w:r w:rsidRPr="003021DB">
        <w:rPr>
          <w:rFonts w:ascii="Verdana" w:hAnsi="Verdana"/>
          <w:sz w:val="18"/>
          <w:szCs w:val="18"/>
          <w:u w:val="single"/>
        </w:rPr>
        <w:t>Knowledge transfer</w:t>
      </w:r>
      <w:r w:rsidRPr="003021DB">
        <w:rPr>
          <w:rFonts w:ascii="Verdana" w:hAnsi="Verdana"/>
          <w:sz w:val="18"/>
          <w:szCs w:val="18"/>
        </w:rPr>
        <w:t xml:space="preserve">: EMA will support the new Rapporteur by creating a knowledge transfer package </w:t>
      </w:r>
      <w:r w:rsidR="00171AC1" w:rsidRPr="003021DB">
        <w:rPr>
          <w:rFonts w:ascii="Verdana" w:hAnsi="Verdana"/>
          <w:sz w:val="18"/>
          <w:szCs w:val="18"/>
        </w:rPr>
        <w:t>for products</w:t>
      </w:r>
      <w:r w:rsidRPr="003021DB">
        <w:rPr>
          <w:rFonts w:ascii="Verdana" w:hAnsi="Verdana"/>
          <w:sz w:val="18"/>
          <w:szCs w:val="18"/>
        </w:rPr>
        <w:t>. Companies are expected to play a role in this process of knowledge transfer (including understanding of upcoming procedures - forecast). </w:t>
      </w:r>
    </w:p>
    <w:p w:rsidR="003021DB" w:rsidRPr="003021DB" w:rsidRDefault="003021DB" w:rsidP="003021DB">
      <w:pPr>
        <w:rPr>
          <w:rFonts w:ascii="Verdana" w:hAnsi="Verdana"/>
          <w:sz w:val="18"/>
          <w:szCs w:val="18"/>
        </w:rPr>
      </w:pPr>
    </w:p>
    <w:p w:rsidR="003021DB" w:rsidRPr="003021DB" w:rsidRDefault="003021DB" w:rsidP="003021DB">
      <w:pPr>
        <w:rPr>
          <w:rFonts w:ascii="Verdana" w:hAnsi="Verdana"/>
          <w:sz w:val="18"/>
          <w:szCs w:val="18"/>
        </w:rPr>
      </w:pPr>
      <w:r w:rsidRPr="003021DB">
        <w:rPr>
          <w:rFonts w:ascii="Verdana" w:hAnsi="Verdana"/>
          <w:b/>
          <w:bCs/>
          <w:sz w:val="18"/>
          <w:szCs w:val="18"/>
        </w:rPr>
        <w:t>EMA survey</w:t>
      </w:r>
    </w:p>
    <w:p w:rsidR="003021DB" w:rsidRDefault="003021DB" w:rsidP="003021DB">
      <w:pPr>
        <w:rPr>
          <w:rFonts w:ascii="Verdana" w:hAnsi="Verdana"/>
          <w:sz w:val="18"/>
          <w:szCs w:val="18"/>
        </w:rPr>
      </w:pPr>
      <w:r w:rsidRPr="003021DB">
        <w:rPr>
          <w:rFonts w:ascii="Verdana" w:hAnsi="Verdana"/>
          <w:sz w:val="18"/>
          <w:szCs w:val="18"/>
        </w:rPr>
        <w:t>Analysis still ongoing (EMA received 91% response feedback), they are currently following up with those companies in case of incomp</w:t>
      </w:r>
      <w:r w:rsidR="00171AC1">
        <w:rPr>
          <w:rFonts w:ascii="Verdana" w:hAnsi="Verdana"/>
          <w:sz w:val="18"/>
          <w:szCs w:val="18"/>
        </w:rPr>
        <w:t>lete responses. After this is</w:t>
      </w:r>
      <w:r w:rsidRPr="003021DB">
        <w:rPr>
          <w:rFonts w:ascii="Verdana" w:hAnsi="Verdana"/>
          <w:sz w:val="18"/>
          <w:szCs w:val="18"/>
        </w:rPr>
        <w:t xml:space="preserve"> done EMA will share an overview of initial findings/summary report (expected early May). </w:t>
      </w:r>
      <w:r w:rsidR="005853EF" w:rsidRPr="005853EF">
        <w:rPr>
          <w:rFonts w:ascii="Verdana" w:hAnsi="Verdana"/>
          <w:sz w:val="18"/>
          <w:szCs w:val="18"/>
        </w:rPr>
        <w:t>A second survey will be launched soon, to check for authority capacity for MRP/DCP. Results to be expected ready Q2 2018.</w:t>
      </w:r>
    </w:p>
    <w:p w:rsidR="005853EF" w:rsidRPr="003021DB" w:rsidRDefault="005853EF" w:rsidP="003021DB">
      <w:pPr>
        <w:rPr>
          <w:rFonts w:ascii="Verdana" w:hAnsi="Verdana"/>
          <w:sz w:val="18"/>
          <w:szCs w:val="18"/>
        </w:rPr>
      </w:pPr>
    </w:p>
    <w:p w:rsidR="003021DB" w:rsidRPr="003021DB" w:rsidRDefault="003021DB" w:rsidP="003021DB">
      <w:pPr>
        <w:rPr>
          <w:rFonts w:ascii="Verdana" w:hAnsi="Verdana"/>
          <w:sz w:val="18"/>
          <w:szCs w:val="18"/>
        </w:rPr>
      </w:pPr>
      <w:r w:rsidRPr="003021DB">
        <w:rPr>
          <w:rFonts w:ascii="Verdana" w:hAnsi="Verdana"/>
          <w:b/>
          <w:bCs/>
          <w:sz w:val="18"/>
          <w:szCs w:val="18"/>
        </w:rPr>
        <w:t>Updated Q&amp;A / practical guidance</w:t>
      </w:r>
    </w:p>
    <w:p w:rsidR="003021DB" w:rsidRPr="003021DB" w:rsidRDefault="003021DB" w:rsidP="003021DB">
      <w:pPr>
        <w:rPr>
          <w:rFonts w:ascii="Verdana" w:hAnsi="Verdana"/>
          <w:sz w:val="18"/>
          <w:szCs w:val="18"/>
        </w:rPr>
      </w:pPr>
      <w:r w:rsidRPr="003021DB">
        <w:rPr>
          <w:rFonts w:ascii="Verdana" w:hAnsi="Verdana"/>
          <w:sz w:val="18"/>
          <w:szCs w:val="18"/>
        </w:rPr>
        <w:t>Still being discussed (scope not clear /shared), but expected in Q2-2018 for consultation. </w:t>
      </w:r>
    </w:p>
    <w:p w:rsidR="003021DB" w:rsidRPr="003021DB" w:rsidRDefault="003021DB" w:rsidP="003021DB">
      <w:pPr>
        <w:rPr>
          <w:rFonts w:ascii="Verdana" w:hAnsi="Verdana"/>
          <w:sz w:val="18"/>
          <w:szCs w:val="18"/>
        </w:rPr>
      </w:pPr>
    </w:p>
    <w:p w:rsidR="003021DB" w:rsidRPr="003021DB" w:rsidRDefault="003021DB" w:rsidP="003021DB">
      <w:pPr>
        <w:rPr>
          <w:rFonts w:ascii="Verdana" w:hAnsi="Verdana"/>
          <w:sz w:val="18"/>
          <w:szCs w:val="18"/>
        </w:rPr>
      </w:pPr>
      <w:r w:rsidRPr="003021DB">
        <w:rPr>
          <w:rFonts w:ascii="Verdana" w:hAnsi="Verdana"/>
          <w:b/>
          <w:bCs/>
          <w:sz w:val="18"/>
          <w:szCs w:val="18"/>
        </w:rPr>
        <w:t>Product specific queries</w:t>
      </w:r>
    </w:p>
    <w:p w:rsidR="003021DB" w:rsidRPr="003021DB" w:rsidRDefault="003021DB" w:rsidP="003021DB">
      <w:pPr>
        <w:rPr>
          <w:rFonts w:ascii="Verdana" w:hAnsi="Verdana"/>
          <w:sz w:val="18"/>
          <w:szCs w:val="18"/>
        </w:rPr>
      </w:pPr>
      <w:r w:rsidRPr="003021DB">
        <w:rPr>
          <w:rFonts w:ascii="Verdana" w:hAnsi="Verdana"/>
          <w:sz w:val="18"/>
          <w:szCs w:val="18"/>
        </w:rPr>
        <w:t>Companies were further encouraged to reach out the EMA in case of product specific questions or alignment of upcoming submissions. Especially in the case of MAH transfers in parallel to ongoing procedures it is considered important to agree on the best strategy to obtain the Commission Decision. </w:t>
      </w:r>
    </w:p>
    <w:p w:rsidR="003021DB" w:rsidRPr="003021DB" w:rsidRDefault="003021DB">
      <w:pPr>
        <w:rPr>
          <w:rFonts w:ascii="Verdana" w:eastAsia="Verdana" w:hAnsi="Verdana" w:cs="Verdana"/>
          <w:sz w:val="18"/>
          <w:szCs w:val="18"/>
          <w:lang w:eastAsia="en-GB"/>
        </w:rPr>
      </w:pPr>
      <w:r w:rsidRPr="003021DB">
        <w:rPr>
          <w:rFonts w:ascii="Verdana" w:hAnsi="Verdana"/>
          <w:sz w:val="18"/>
          <w:szCs w:val="18"/>
        </w:rPr>
        <w:br w:type="page"/>
      </w:r>
    </w:p>
    <w:p w:rsidR="003021DB" w:rsidRPr="003021DB" w:rsidRDefault="003021DB" w:rsidP="003021DB">
      <w:pPr>
        <w:pStyle w:val="BodytextAgency"/>
      </w:pPr>
    </w:p>
    <w:p w:rsidR="005166B6" w:rsidRPr="005166B6" w:rsidRDefault="009848B0" w:rsidP="00D56437">
      <w:pPr>
        <w:rPr>
          <w:rFonts w:ascii="Verdana" w:hAnsi="Verdana"/>
          <w:b/>
          <w:sz w:val="18"/>
          <w:szCs w:val="18"/>
        </w:rPr>
      </w:pPr>
      <w:r w:rsidRPr="005166B6">
        <w:rPr>
          <w:rFonts w:ascii="Verdana" w:hAnsi="Verdana"/>
          <w:b/>
          <w:sz w:val="18"/>
          <w:szCs w:val="18"/>
        </w:rPr>
        <w:t xml:space="preserve">List of questions from industry associations </w:t>
      </w:r>
    </w:p>
    <w:p w:rsidR="005166B6" w:rsidRPr="00FB0BF4" w:rsidRDefault="005166B6" w:rsidP="00D56437">
      <w:pPr>
        <w:rPr>
          <w:rFonts w:ascii="Verdana" w:hAnsi="Verdana"/>
          <w:sz w:val="18"/>
          <w:szCs w:val="18"/>
        </w:rPr>
      </w:pPr>
    </w:p>
    <w:tbl>
      <w:tblPr>
        <w:tblW w:w="14474" w:type="dxa"/>
        <w:tblInd w:w="93" w:type="dxa"/>
        <w:tblLayout w:type="fixed"/>
        <w:tblLook w:val="04A0" w:firstRow="1" w:lastRow="0" w:firstColumn="1" w:lastColumn="0" w:noHBand="0" w:noVBand="1"/>
      </w:tblPr>
      <w:tblGrid>
        <w:gridCol w:w="2083"/>
        <w:gridCol w:w="2185"/>
        <w:gridCol w:w="1843"/>
        <w:gridCol w:w="1134"/>
        <w:gridCol w:w="7229"/>
      </w:tblGrid>
      <w:tr w:rsidR="00242800" w:rsidTr="00D81559">
        <w:trPr>
          <w:trHeight w:val="1050"/>
          <w:tblHeader/>
        </w:trPr>
        <w:tc>
          <w:tcPr>
            <w:tcW w:w="2083"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186342" w:rsidRPr="00F6066D" w:rsidRDefault="009848B0" w:rsidP="00F6066D">
            <w:pPr>
              <w:rPr>
                <w:rFonts w:ascii="Verdana" w:eastAsia="Times New Roman" w:hAnsi="Verdana"/>
                <w:b/>
                <w:bCs/>
                <w:color w:val="1F497D"/>
                <w:sz w:val="18"/>
                <w:szCs w:val="18"/>
                <w:lang w:eastAsia="en-GB"/>
              </w:rPr>
            </w:pPr>
            <w:r w:rsidRPr="00F6066D">
              <w:rPr>
                <w:rFonts w:ascii="Verdana" w:eastAsia="Times New Roman" w:hAnsi="Verdana"/>
                <w:b/>
                <w:bCs/>
                <w:color w:val="1F497D"/>
                <w:sz w:val="18"/>
                <w:szCs w:val="18"/>
                <w:lang w:eastAsia="en-GB"/>
              </w:rPr>
              <w:t>Industry stakeholders organisations</w:t>
            </w:r>
          </w:p>
        </w:tc>
        <w:tc>
          <w:tcPr>
            <w:tcW w:w="2185" w:type="dxa"/>
            <w:tcBorders>
              <w:top w:val="single" w:sz="4" w:space="0" w:color="auto"/>
              <w:left w:val="nil"/>
              <w:bottom w:val="single" w:sz="4" w:space="0" w:color="auto"/>
              <w:right w:val="single" w:sz="4" w:space="0" w:color="auto"/>
            </w:tcBorders>
            <w:shd w:val="clear" w:color="000000" w:fill="F79646"/>
            <w:noWrap/>
            <w:vAlign w:val="center"/>
            <w:hideMark/>
          </w:tcPr>
          <w:p w:rsidR="00186342" w:rsidRPr="00F6066D" w:rsidRDefault="009848B0" w:rsidP="00F6066D">
            <w:pPr>
              <w:rPr>
                <w:rFonts w:ascii="Verdana" w:eastAsia="Times New Roman" w:hAnsi="Verdana"/>
                <w:b/>
                <w:bCs/>
                <w:color w:val="1F497D"/>
                <w:sz w:val="18"/>
                <w:szCs w:val="18"/>
                <w:lang w:eastAsia="en-GB"/>
              </w:rPr>
            </w:pPr>
            <w:r w:rsidRPr="00F6066D">
              <w:rPr>
                <w:rFonts w:ascii="Verdana" w:eastAsia="Times New Roman" w:hAnsi="Verdana"/>
                <w:b/>
                <w:bCs/>
                <w:color w:val="1F497D"/>
                <w:sz w:val="18"/>
                <w:szCs w:val="18"/>
                <w:lang w:eastAsia="en-GB"/>
              </w:rPr>
              <w:t>Theme</w:t>
            </w:r>
          </w:p>
        </w:tc>
        <w:tc>
          <w:tcPr>
            <w:tcW w:w="1843" w:type="dxa"/>
            <w:tcBorders>
              <w:top w:val="single" w:sz="4" w:space="0" w:color="auto"/>
              <w:left w:val="nil"/>
              <w:bottom w:val="single" w:sz="4" w:space="0" w:color="auto"/>
              <w:right w:val="single" w:sz="4" w:space="0" w:color="auto"/>
            </w:tcBorders>
            <w:shd w:val="clear" w:color="000000" w:fill="F79646"/>
            <w:noWrap/>
            <w:vAlign w:val="center"/>
            <w:hideMark/>
          </w:tcPr>
          <w:p w:rsidR="00186342" w:rsidRPr="00F6066D" w:rsidRDefault="009848B0" w:rsidP="00F6066D">
            <w:pPr>
              <w:rPr>
                <w:rFonts w:ascii="Verdana" w:eastAsia="Times New Roman" w:hAnsi="Verdana"/>
                <w:b/>
                <w:bCs/>
                <w:color w:val="1F497D"/>
                <w:sz w:val="18"/>
                <w:szCs w:val="18"/>
                <w:lang w:eastAsia="en-GB"/>
              </w:rPr>
            </w:pPr>
            <w:r w:rsidRPr="00F6066D">
              <w:rPr>
                <w:rFonts w:ascii="Verdana" w:eastAsia="Times New Roman" w:hAnsi="Verdana"/>
                <w:b/>
                <w:bCs/>
                <w:color w:val="1F497D"/>
                <w:sz w:val="18"/>
                <w:szCs w:val="18"/>
                <w:lang w:eastAsia="en-GB"/>
              </w:rPr>
              <w:t>Topic</w:t>
            </w:r>
          </w:p>
        </w:tc>
        <w:tc>
          <w:tcPr>
            <w:tcW w:w="1134" w:type="dxa"/>
            <w:tcBorders>
              <w:top w:val="single" w:sz="4" w:space="0" w:color="auto"/>
              <w:left w:val="nil"/>
              <w:bottom w:val="single" w:sz="4" w:space="0" w:color="auto"/>
              <w:right w:val="single" w:sz="4" w:space="0" w:color="auto"/>
            </w:tcBorders>
            <w:shd w:val="clear" w:color="000000" w:fill="F79646"/>
            <w:noWrap/>
            <w:vAlign w:val="center"/>
            <w:hideMark/>
          </w:tcPr>
          <w:p w:rsidR="00186342" w:rsidRPr="00F6066D" w:rsidRDefault="009848B0" w:rsidP="00F6066D">
            <w:pPr>
              <w:rPr>
                <w:rFonts w:ascii="Verdana" w:eastAsia="Times New Roman" w:hAnsi="Verdana"/>
                <w:b/>
                <w:bCs/>
                <w:color w:val="1F497D"/>
                <w:sz w:val="18"/>
                <w:szCs w:val="18"/>
                <w:lang w:eastAsia="en-GB"/>
              </w:rPr>
            </w:pPr>
            <w:r w:rsidRPr="00F6066D">
              <w:rPr>
                <w:rFonts w:ascii="Verdana" w:eastAsia="Times New Roman" w:hAnsi="Verdana"/>
                <w:b/>
                <w:bCs/>
                <w:color w:val="1F497D"/>
                <w:sz w:val="18"/>
                <w:szCs w:val="18"/>
                <w:lang w:eastAsia="en-GB"/>
              </w:rPr>
              <w:t>Date</w:t>
            </w:r>
          </w:p>
        </w:tc>
        <w:tc>
          <w:tcPr>
            <w:tcW w:w="7229" w:type="dxa"/>
            <w:tcBorders>
              <w:top w:val="single" w:sz="4" w:space="0" w:color="auto"/>
              <w:left w:val="nil"/>
              <w:bottom w:val="single" w:sz="4" w:space="0" w:color="auto"/>
              <w:right w:val="single" w:sz="4" w:space="0" w:color="auto"/>
            </w:tcBorders>
            <w:shd w:val="clear" w:color="000000" w:fill="F79646"/>
            <w:noWrap/>
            <w:vAlign w:val="center"/>
            <w:hideMark/>
          </w:tcPr>
          <w:p w:rsidR="00186342" w:rsidRPr="00F6066D" w:rsidRDefault="009848B0" w:rsidP="00F6066D">
            <w:pPr>
              <w:rPr>
                <w:rFonts w:ascii="Verdana" w:eastAsia="Times New Roman" w:hAnsi="Verdana"/>
                <w:b/>
                <w:bCs/>
                <w:color w:val="1F497D"/>
                <w:sz w:val="18"/>
                <w:szCs w:val="18"/>
                <w:lang w:eastAsia="en-GB"/>
              </w:rPr>
            </w:pPr>
            <w:r w:rsidRPr="00F6066D">
              <w:rPr>
                <w:rFonts w:ascii="Verdana" w:eastAsia="Times New Roman" w:hAnsi="Verdana"/>
                <w:b/>
                <w:bCs/>
                <w:color w:val="1F497D"/>
                <w:sz w:val="18"/>
                <w:szCs w:val="18"/>
                <w:lang w:eastAsia="en-GB"/>
              </w:rPr>
              <w:t>Questions</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3F68F0">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MAH</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3F68F0">
              <w:rPr>
                <w:rFonts w:ascii="Verdana" w:eastAsia="Times New Roman" w:hAnsi="Verdana"/>
                <w:sz w:val="18"/>
                <w:szCs w:val="18"/>
                <w:lang w:eastAsia="en-GB"/>
              </w:rPr>
              <w:t>Changing MAH due to BREXIT as a Variation</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3F68F0">
            <w:pPr>
              <w:pStyle w:val="ListParagraph"/>
              <w:numPr>
                <w:ilvl w:val="0"/>
                <w:numId w:val="16"/>
              </w:numPr>
              <w:rPr>
                <w:rFonts w:ascii="Verdana" w:eastAsia="Times New Roman" w:hAnsi="Verdana"/>
                <w:sz w:val="18"/>
                <w:szCs w:val="18"/>
                <w:lang w:eastAsia="en-GB"/>
              </w:rPr>
            </w:pPr>
            <w:r w:rsidRPr="003F68F0">
              <w:rPr>
                <w:rFonts w:ascii="Verdana" w:eastAsia="Times New Roman" w:hAnsi="Verdana"/>
                <w:sz w:val="18"/>
                <w:szCs w:val="18"/>
                <w:lang w:eastAsia="en-GB"/>
              </w:rPr>
              <w:t>The annexed document further outlines the regulatory / legal rationale that appointing a legal entity from the same family of companies as the new MAH due to Brexit can be notified as a variation as opposed to a transfer of an MA under Regulation 2141/96. The document also explains why making these changes as a variation rather than an MA Transfer will have a positive impact on the use of resources needed to make this administrative change (see Annex)</w:t>
            </w:r>
          </w:p>
          <w:p w:rsidR="00944C2A" w:rsidRDefault="00944C2A" w:rsidP="009F7C28">
            <w:pPr>
              <w:divId w:val="1014919281"/>
              <w:rPr>
                <w:rFonts w:ascii="Calibri" w:eastAsia="Times New Roman" w:hAnsi="Calibri"/>
                <w:color w:val="FF0000"/>
                <w:szCs w:val="22"/>
                <w:lang w:eastAsia="nl-NL"/>
              </w:rPr>
            </w:pPr>
            <w:r w:rsidRPr="009F7C28">
              <w:rPr>
                <w:rFonts w:ascii="Verdana" w:eastAsia="Times New Roman" w:hAnsi="Verdana"/>
                <w:b/>
                <w:color w:val="FF0000"/>
                <w:sz w:val="18"/>
                <w:szCs w:val="18"/>
                <w:lang w:eastAsia="en-GB"/>
              </w:rPr>
              <w:t>Response:</w:t>
            </w:r>
            <w:r w:rsidRPr="009F7C28">
              <w:rPr>
                <w:rFonts w:ascii="Verdana" w:eastAsia="Times New Roman" w:hAnsi="Verdana"/>
                <w:color w:val="FF0000"/>
                <w:sz w:val="18"/>
                <w:szCs w:val="18"/>
                <w:lang w:eastAsia="en-GB"/>
              </w:rPr>
              <w:t xml:space="preserve"> </w:t>
            </w:r>
            <w:r w:rsidR="00F117F5" w:rsidRPr="009F7C28">
              <w:rPr>
                <w:rFonts w:ascii="Calibri" w:eastAsia="Times New Roman" w:hAnsi="Calibri"/>
                <w:color w:val="FF0000"/>
                <w:szCs w:val="22"/>
                <w:lang w:eastAsia="nl-NL"/>
              </w:rPr>
              <w:t xml:space="preserve">EC retain their view that this is not a variation. Transfers are from one legal entity to another legal entity and the MAH transfer procedure should be used. </w:t>
            </w:r>
            <w:r w:rsidR="009F7C28" w:rsidRPr="009F7C28">
              <w:rPr>
                <w:rFonts w:ascii="Calibri" w:eastAsia="Times New Roman" w:hAnsi="Calibri"/>
                <w:color w:val="FF0000"/>
                <w:szCs w:val="22"/>
                <w:lang w:eastAsia="nl-NL"/>
              </w:rPr>
              <w:t>Concept of same MAH is used in certain clearly defined situations.</w:t>
            </w:r>
          </w:p>
          <w:p w:rsidR="00147925" w:rsidRDefault="00147925" w:rsidP="009F7C28">
            <w:pPr>
              <w:divId w:val="1014919281"/>
              <w:rPr>
                <w:rFonts w:ascii="Calibri" w:eastAsia="Times New Roman" w:hAnsi="Calibri"/>
                <w:color w:val="FF0000"/>
                <w:szCs w:val="22"/>
                <w:lang w:eastAsia="nl-NL"/>
              </w:rPr>
            </w:pPr>
          </w:p>
          <w:p w:rsidR="00147925" w:rsidRDefault="00147925" w:rsidP="00147925">
            <w:pPr>
              <w:divId w:val="1014919281"/>
              <w:rPr>
                <w:rFonts w:ascii="Calibri" w:eastAsia="Times New Roman" w:hAnsi="Calibri"/>
                <w:color w:val="FF0000"/>
                <w:szCs w:val="22"/>
                <w:lang w:eastAsia="nl-NL"/>
              </w:rPr>
            </w:pPr>
            <w:r>
              <w:rPr>
                <w:rFonts w:ascii="Calibri" w:eastAsia="Times New Roman" w:hAnsi="Calibri"/>
                <w:color w:val="FF0000"/>
                <w:szCs w:val="22"/>
                <w:lang w:eastAsia="nl-NL"/>
              </w:rPr>
              <w:t xml:space="preserve">EMA took into account the legal analysis from industry, and therefore have </w:t>
            </w:r>
            <w:r w:rsidRPr="00147925">
              <w:rPr>
                <w:rFonts w:ascii="Calibri" w:eastAsia="Times New Roman" w:hAnsi="Calibri"/>
                <w:color w:val="FF0000"/>
                <w:szCs w:val="22"/>
                <w:lang w:eastAsia="nl-NL"/>
              </w:rPr>
              <w:t>proposed simplifications to the transfer process. Companies are allowed to have a combined version of all documents submitted. Mock up requirements have been waived. Implementation period is very flexible, not exceeding 29th of March. Parallel variations/procedures (also renewals, notifications) are allowed. FMD/serialisation can be incorporated into MA transfer plans.</w:t>
            </w:r>
          </w:p>
          <w:p w:rsidR="00147925" w:rsidRDefault="00147925" w:rsidP="00147925">
            <w:pPr>
              <w:divId w:val="1014919281"/>
              <w:rPr>
                <w:rFonts w:ascii="Calibri" w:eastAsia="Times New Roman" w:hAnsi="Calibri"/>
                <w:color w:val="FF0000"/>
                <w:szCs w:val="22"/>
                <w:lang w:eastAsia="nl-NL"/>
              </w:rPr>
            </w:pPr>
          </w:p>
          <w:p w:rsidR="005853EF" w:rsidRPr="00147925" w:rsidRDefault="00147925" w:rsidP="005853EF">
            <w:pPr>
              <w:divId w:val="1014919281"/>
              <w:rPr>
                <w:rFonts w:asciiTheme="minorHAnsi" w:eastAsia="Times New Roman" w:hAnsiTheme="minorHAnsi"/>
                <w:color w:val="FF0000"/>
                <w:szCs w:val="22"/>
                <w:lang w:eastAsia="nl-NL"/>
              </w:rPr>
            </w:pPr>
            <w:r w:rsidRPr="00147925">
              <w:rPr>
                <w:rFonts w:ascii="Calibri" w:eastAsia="Times New Roman" w:hAnsi="Calibri"/>
                <w:color w:val="FF0000"/>
                <w:szCs w:val="22"/>
                <w:lang w:eastAsia="nl-NL"/>
              </w:rPr>
              <w:t xml:space="preserve">It is recommended for companies to contact EMA transfer queries for advice and for pre-checking of submissions. Use the special mailbox for questions. </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3E78E1">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MAH</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Transfer of MAHs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Pr="001A6744" w:rsidRDefault="009848B0" w:rsidP="001A6744">
            <w:pPr>
              <w:pStyle w:val="ListParagraph"/>
              <w:ind w:left="360"/>
              <w:rPr>
                <w:rFonts w:ascii="Verdana" w:eastAsia="Times New Roman" w:hAnsi="Verdana"/>
                <w:sz w:val="18"/>
                <w:szCs w:val="18"/>
                <w:lang w:eastAsia="en-GB"/>
              </w:rPr>
            </w:pPr>
            <w:r w:rsidRPr="001A6744">
              <w:rPr>
                <w:rFonts w:ascii="Verdana" w:eastAsia="Times New Roman" w:hAnsi="Verdana"/>
                <w:sz w:val="18"/>
                <w:szCs w:val="18"/>
                <w:lang w:eastAsia="en-GB"/>
              </w:rPr>
              <w:t>Given the high volume of products impacted there is a need to agree on a pragmatic way to update artworks with the Brexit related change in MAH with other ongoing activities such as manufacturing changes and serialisation.</w:t>
            </w:r>
          </w:p>
          <w:p w:rsidR="00186342" w:rsidRPr="001A6744" w:rsidRDefault="00186342" w:rsidP="001A6744">
            <w:pPr>
              <w:pStyle w:val="ListParagraph"/>
              <w:ind w:left="360"/>
              <w:rPr>
                <w:rFonts w:ascii="Verdana" w:eastAsia="Times New Roman" w:hAnsi="Verdana"/>
                <w:sz w:val="18"/>
                <w:szCs w:val="18"/>
                <w:lang w:eastAsia="en-GB"/>
              </w:rPr>
            </w:pPr>
          </w:p>
          <w:p w:rsidR="00186342" w:rsidRPr="001A6744" w:rsidRDefault="009848B0" w:rsidP="001A6744">
            <w:pPr>
              <w:pStyle w:val="ListParagraph"/>
              <w:ind w:left="360" w:hanging="268"/>
              <w:rPr>
                <w:rFonts w:ascii="Verdana" w:eastAsia="Times New Roman" w:hAnsi="Verdana"/>
                <w:sz w:val="18"/>
                <w:szCs w:val="18"/>
                <w:lang w:eastAsia="en-GB"/>
              </w:rPr>
            </w:pPr>
            <w:r w:rsidRPr="001A6744">
              <w:rPr>
                <w:rFonts w:ascii="Verdana" w:eastAsia="Times New Roman" w:hAnsi="Verdana"/>
                <w:sz w:val="18"/>
                <w:szCs w:val="18"/>
                <w:lang w:eastAsia="en-GB"/>
              </w:rPr>
              <w:t>2.</w:t>
            </w:r>
            <w:r w:rsidRPr="001A6744">
              <w:rPr>
                <w:rFonts w:ascii="Verdana" w:eastAsia="Times New Roman" w:hAnsi="Verdana"/>
                <w:sz w:val="18"/>
                <w:szCs w:val="18"/>
                <w:lang w:eastAsia="en-GB"/>
              </w:rPr>
              <w:tab/>
              <w:t xml:space="preserve">We acknowledge that the current EMA guidance permits that implementation of the change in artwork can be longer than 6 months but must be prior to March 2019.  For procedures where the MAH change is administrative i.e. the MAH remains within the same company so there is no material change per se. Could EMA consider longer implementation time-lines e.g. one year from Commission Decision?  </w:t>
            </w:r>
          </w:p>
          <w:p w:rsidR="00186342" w:rsidRPr="009F7C28" w:rsidRDefault="00815E14" w:rsidP="00815E14">
            <w:pPr>
              <w:rPr>
                <w:rFonts w:ascii="Verdana" w:eastAsia="Times New Roman" w:hAnsi="Verdana"/>
                <w:color w:val="FF0000"/>
                <w:sz w:val="18"/>
                <w:szCs w:val="18"/>
                <w:lang w:eastAsia="en-GB"/>
              </w:rPr>
            </w:pPr>
            <w:r w:rsidRPr="009F7C28">
              <w:rPr>
                <w:rFonts w:ascii="Verdana" w:eastAsia="Times New Roman" w:hAnsi="Verdana"/>
                <w:b/>
                <w:color w:val="FF0000"/>
                <w:sz w:val="18"/>
                <w:szCs w:val="18"/>
                <w:lang w:eastAsia="en-GB"/>
              </w:rPr>
              <w:t>Response:</w:t>
            </w:r>
            <w:r w:rsidRPr="009F7C28">
              <w:rPr>
                <w:rFonts w:ascii="Verdana" w:eastAsia="Times New Roman" w:hAnsi="Verdana"/>
                <w:color w:val="FF0000"/>
                <w:sz w:val="18"/>
                <w:szCs w:val="18"/>
                <w:lang w:eastAsia="en-GB"/>
              </w:rPr>
              <w:t xml:space="preserve"> </w:t>
            </w:r>
            <w:r w:rsidR="00665A98" w:rsidRPr="009F7C28">
              <w:rPr>
                <w:rFonts w:ascii="Verdana" w:eastAsia="Times New Roman" w:hAnsi="Verdana"/>
                <w:color w:val="FF0000"/>
                <w:sz w:val="18"/>
                <w:szCs w:val="18"/>
                <w:lang w:eastAsia="en-GB"/>
              </w:rPr>
              <w:t>Implementation must</w:t>
            </w:r>
            <w:r w:rsidR="00147925">
              <w:rPr>
                <w:rFonts w:ascii="Verdana" w:eastAsia="Times New Roman" w:hAnsi="Verdana"/>
                <w:color w:val="FF0000"/>
                <w:sz w:val="18"/>
                <w:szCs w:val="18"/>
                <w:lang w:eastAsia="en-GB"/>
              </w:rPr>
              <w:t xml:space="preserve"> be complete by 29</w:t>
            </w:r>
            <w:r w:rsidR="00665A98" w:rsidRPr="009F7C28">
              <w:rPr>
                <w:rFonts w:ascii="Verdana" w:eastAsia="Times New Roman" w:hAnsi="Verdana"/>
                <w:color w:val="FF0000"/>
                <w:sz w:val="18"/>
                <w:szCs w:val="18"/>
                <w:lang w:eastAsia="en-GB"/>
              </w:rPr>
              <w:t xml:space="preserve"> March 201</w:t>
            </w:r>
            <w:r w:rsidR="00EB7750">
              <w:rPr>
                <w:rFonts w:ascii="Verdana" w:eastAsia="Times New Roman" w:hAnsi="Verdana"/>
                <w:color w:val="FF0000"/>
                <w:sz w:val="18"/>
                <w:szCs w:val="18"/>
                <w:lang w:eastAsia="en-GB"/>
              </w:rPr>
              <w:t>9 (i.e. product QP released after 29 March 2019 must have new packaging)</w:t>
            </w:r>
          </w:p>
          <w:p w:rsidR="00815E14" w:rsidRDefault="00815E14" w:rsidP="00815E14">
            <w:pPr>
              <w:rPr>
                <w:rFonts w:ascii="Verdana" w:eastAsia="Times New Roman" w:hAnsi="Verdana"/>
                <w:sz w:val="18"/>
                <w:szCs w:val="18"/>
                <w:lang w:eastAsia="en-GB"/>
              </w:rPr>
            </w:pPr>
          </w:p>
          <w:p w:rsidR="00186342" w:rsidRDefault="009848B0" w:rsidP="001A6744">
            <w:pPr>
              <w:pStyle w:val="ListParagraph"/>
              <w:ind w:left="360" w:hanging="268"/>
              <w:rPr>
                <w:rFonts w:ascii="Verdana" w:eastAsia="Times New Roman" w:hAnsi="Verdana"/>
                <w:sz w:val="18"/>
                <w:szCs w:val="18"/>
                <w:lang w:eastAsia="en-GB"/>
              </w:rPr>
            </w:pPr>
            <w:r w:rsidRPr="001A6744">
              <w:rPr>
                <w:rFonts w:ascii="Verdana" w:eastAsia="Times New Roman" w:hAnsi="Verdana"/>
                <w:sz w:val="18"/>
                <w:szCs w:val="18"/>
                <w:lang w:eastAsia="en-GB"/>
              </w:rPr>
              <w:t>3.</w:t>
            </w:r>
            <w:r w:rsidRPr="001A6744">
              <w:rPr>
                <w:rFonts w:ascii="Verdana" w:eastAsia="Times New Roman" w:hAnsi="Verdana"/>
                <w:sz w:val="18"/>
                <w:szCs w:val="18"/>
                <w:lang w:eastAsia="en-GB"/>
              </w:rPr>
              <w:tab/>
              <w:t>In the situation where an MAA is approved before the planned submission of the change in MAH but the launch is not planned until after the change in MAH is approved (so the product is approved but not yet marketed), can these procedures also follow the same implementation date agreement as above? The standard MA transfer process for a product not yet marketed requires that the proposed date of implementation should be the day on which the Commission Decision on the Transfer is issued.  This does not allow the same flexibility with regard to implementation dates as marketed products.</w:t>
            </w:r>
          </w:p>
          <w:p w:rsidR="009F7C28" w:rsidRDefault="00C165C0" w:rsidP="009F7C28">
            <w:pPr>
              <w:rPr>
                <w:rFonts w:ascii="Verdana" w:eastAsia="Times New Roman" w:hAnsi="Verdana"/>
                <w:color w:val="FF0000"/>
                <w:sz w:val="18"/>
                <w:szCs w:val="18"/>
                <w:lang w:eastAsia="en-GB"/>
              </w:rPr>
            </w:pPr>
            <w:r w:rsidRPr="009F7C28">
              <w:rPr>
                <w:rFonts w:ascii="Verdana" w:eastAsia="Times New Roman" w:hAnsi="Verdana"/>
                <w:b/>
                <w:color w:val="FF0000"/>
                <w:sz w:val="18"/>
                <w:szCs w:val="18"/>
                <w:lang w:eastAsia="en-GB"/>
              </w:rPr>
              <w:t>Response:</w:t>
            </w:r>
            <w:r w:rsidRPr="009F7C28">
              <w:rPr>
                <w:rFonts w:ascii="Verdana" w:eastAsia="Times New Roman" w:hAnsi="Verdana"/>
                <w:color w:val="FF0000"/>
                <w:sz w:val="18"/>
                <w:szCs w:val="18"/>
                <w:lang w:eastAsia="en-GB"/>
              </w:rPr>
              <w:t xml:space="preserve"> </w:t>
            </w:r>
            <w:r w:rsidR="009F7C28">
              <w:rPr>
                <w:rFonts w:ascii="Verdana" w:eastAsia="Times New Roman" w:hAnsi="Verdana"/>
                <w:color w:val="FF0000"/>
                <w:sz w:val="18"/>
                <w:szCs w:val="18"/>
                <w:lang w:eastAsia="en-GB"/>
              </w:rPr>
              <w:t>If launch would be after transfer, launched product would have</w:t>
            </w:r>
          </w:p>
          <w:p w:rsidR="00C165C0" w:rsidRPr="009F7C28" w:rsidRDefault="009F7C28" w:rsidP="009F7C28">
            <w:pPr>
              <w:rPr>
                <w:rFonts w:ascii="Verdana" w:eastAsia="Times New Roman" w:hAnsi="Verdana"/>
                <w:sz w:val="18"/>
                <w:szCs w:val="18"/>
                <w:lang w:eastAsia="en-GB"/>
              </w:rPr>
            </w:pPr>
            <w:r>
              <w:rPr>
                <w:rFonts w:ascii="Verdana" w:eastAsia="Times New Roman" w:hAnsi="Verdana"/>
                <w:color w:val="FF0000"/>
                <w:sz w:val="18"/>
                <w:szCs w:val="18"/>
                <w:lang w:eastAsia="en-GB"/>
              </w:rPr>
              <w:t>to reflect new MAH.  EMA will discuss alternatives in very exceptional cases.</w:t>
            </w:r>
          </w:p>
        </w:tc>
      </w:tr>
      <w:tr w:rsidR="00242800" w:rsidTr="00C41A04">
        <w:trPr>
          <w:trHeight w:val="1678"/>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MAH</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1A6744">
              <w:rPr>
                <w:rFonts w:ascii="Verdana" w:eastAsia="Times New Roman" w:hAnsi="Verdana"/>
                <w:sz w:val="18"/>
                <w:szCs w:val="18"/>
                <w:lang w:eastAsia="en-GB"/>
              </w:rPr>
              <w:t>Ongoing MAAs – Brexit related MAH change process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1A6744">
            <w:pPr>
              <w:pStyle w:val="ListParagraph"/>
              <w:ind w:left="360" w:hanging="268"/>
              <w:rPr>
                <w:rFonts w:ascii="Verdana" w:eastAsia="Times New Roman" w:hAnsi="Verdana"/>
                <w:sz w:val="18"/>
                <w:szCs w:val="18"/>
                <w:lang w:eastAsia="en-GB"/>
              </w:rPr>
            </w:pPr>
            <w:r w:rsidRPr="001A6744">
              <w:rPr>
                <w:rFonts w:ascii="Verdana" w:eastAsia="Times New Roman" w:hAnsi="Verdana"/>
                <w:sz w:val="18"/>
                <w:szCs w:val="18"/>
                <w:lang w:eastAsia="en-GB"/>
              </w:rPr>
              <w:t>4.</w:t>
            </w:r>
            <w:r w:rsidRPr="001A6744">
              <w:rPr>
                <w:rFonts w:ascii="Verdana" w:eastAsia="Times New Roman" w:hAnsi="Verdana"/>
                <w:sz w:val="18"/>
                <w:szCs w:val="18"/>
                <w:lang w:eastAsia="en-GB"/>
              </w:rPr>
              <w:tab/>
              <w:t>Clarification would be appreciated on the process to update an ongoing MAA with a Brexit related change to the MAH name and/or address?  Can it occur at day 120/180?</w:t>
            </w:r>
          </w:p>
          <w:p w:rsidR="005853EF" w:rsidRPr="00147925" w:rsidRDefault="001211B0" w:rsidP="005853EF">
            <w:pPr>
              <w:rPr>
                <w:rFonts w:ascii="Verdana" w:eastAsia="Times New Roman" w:hAnsi="Verdana"/>
                <w:color w:val="FF0000"/>
                <w:sz w:val="18"/>
                <w:szCs w:val="18"/>
                <w:lang w:eastAsia="en-GB"/>
              </w:rPr>
            </w:pPr>
            <w:r w:rsidRPr="00C41A04">
              <w:rPr>
                <w:rFonts w:ascii="Verdana" w:eastAsia="Times New Roman" w:hAnsi="Verdana"/>
                <w:b/>
                <w:color w:val="FF0000"/>
                <w:sz w:val="18"/>
                <w:szCs w:val="18"/>
                <w:lang w:eastAsia="en-GB"/>
              </w:rPr>
              <w:t>Response:</w:t>
            </w:r>
            <w:r w:rsidRPr="00C41A04">
              <w:rPr>
                <w:rFonts w:ascii="Verdana" w:eastAsia="Times New Roman" w:hAnsi="Verdana"/>
                <w:color w:val="FF0000"/>
                <w:sz w:val="18"/>
                <w:szCs w:val="18"/>
                <w:lang w:eastAsia="en-GB"/>
              </w:rPr>
              <w:t xml:space="preserve"> yes, </w:t>
            </w:r>
            <w:r w:rsidR="00D07B62" w:rsidRPr="00C41A04">
              <w:rPr>
                <w:rFonts w:ascii="Verdana" w:eastAsia="Times New Roman" w:hAnsi="Verdana"/>
                <w:color w:val="FF0000"/>
                <w:sz w:val="18"/>
                <w:szCs w:val="18"/>
                <w:lang w:eastAsia="en-GB"/>
              </w:rPr>
              <w:t xml:space="preserve">but implemented </w:t>
            </w:r>
            <w:r w:rsidR="00C41A04">
              <w:rPr>
                <w:rFonts w:ascii="Verdana" w:eastAsia="Times New Roman" w:hAnsi="Verdana"/>
                <w:color w:val="FF0000"/>
                <w:sz w:val="18"/>
                <w:szCs w:val="18"/>
                <w:lang w:eastAsia="en-GB"/>
              </w:rPr>
              <w:t>by 29</w:t>
            </w:r>
            <w:r w:rsidR="00D07B62" w:rsidRPr="00C41A04">
              <w:rPr>
                <w:rFonts w:ascii="Verdana" w:eastAsia="Times New Roman" w:hAnsi="Verdana"/>
                <w:color w:val="FF0000"/>
                <w:sz w:val="18"/>
                <w:szCs w:val="18"/>
                <w:lang w:eastAsia="en-GB"/>
              </w:rPr>
              <w:t xml:space="preserve"> March 2019.</w:t>
            </w:r>
            <w:r w:rsidR="00147925">
              <w:rPr>
                <w:rFonts w:ascii="Verdana" w:eastAsia="Times New Roman" w:hAnsi="Verdana"/>
                <w:color w:val="FF0000"/>
                <w:sz w:val="18"/>
                <w:szCs w:val="18"/>
                <w:lang w:eastAsia="en-GB"/>
              </w:rPr>
              <w:t xml:space="preserve"> </w:t>
            </w:r>
            <w:r w:rsidR="00147925" w:rsidRPr="00147925">
              <w:rPr>
                <w:rFonts w:ascii="Verdana" w:eastAsia="Times New Roman" w:hAnsi="Verdana"/>
                <w:color w:val="FF0000"/>
                <w:sz w:val="18"/>
                <w:szCs w:val="18"/>
                <w:lang w:eastAsia="en-GB"/>
              </w:rPr>
              <w:t>A new MAH can be introduced to ongoing MAA but this must be prior to 30 March 2019 and cannot create a duplicate MAA.</w:t>
            </w:r>
            <w:r w:rsidR="00147925">
              <w:rPr>
                <w:rFonts w:ascii="Verdana" w:eastAsia="Times New Roman" w:hAnsi="Verdana"/>
                <w:color w:val="FF0000"/>
                <w:sz w:val="18"/>
                <w:szCs w:val="18"/>
                <w:lang w:eastAsia="en-GB"/>
              </w:rPr>
              <w:t xml:space="preserve"> </w:t>
            </w:r>
            <w:r w:rsidR="005853EF" w:rsidRPr="00147925">
              <w:rPr>
                <w:rFonts w:ascii="Verdana" w:eastAsia="Times New Roman" w:hAnsi="Verdana"/>
                <w:color w:val="FF0000"/>
                <w:sz w:val="18"/>
                <w:szCs w:val="18"/>
                <w:lang w:eastAsia="en-GB"/>
              </w:rPr>
              <w:t>Make sure that you do the transfer of Orphan designation before transfer of applicant.</w:t>
            </w:r>
          </w:p>
          <w:p w:rsidR="005853EF" w:rsidRPr="00C41A04" w:rsidRDefault="005853EF" w:rsidP="00147925">
            <w:pPr>
              <w:rPr>
                <w:rFonts w:ascii="Verdana" w:eastAsia="Times New Roman" w:hAnsi="Verdana"/>
                <w:sz w:val="18"/>
                <w:szCs w:val="18"/>
                <w:lang w:eastAsia="en-GB"/>
              </w:rPr>
            </w:pP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MAH</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Pr="001A6744" w:rsidRDefault="009848B0" w:rsidP="001A6744">
            <w:pPr>
              <w:rPr>
                <w:rFonts w:ascii="Verdana" w:eastAsia="Times New Roman" w:hAnsi="Verdana"/>
                <w:sz w:val="18"/>
                <w:szCs w:val="18"/>
                <w:lang w:eastAsia="en-GB"/>
              </w:rPr>
            </w:pPr>
            <w:r w:rsidRPr="001A6744">
              <w:rPr>
                <w:rFonts w:ascii="Verdana" w:eastAsia="Times New Roman" w:hAnsi="Verdana"/>
                <w:sz w:val="18"/>
                <w:szCs w:val="18"/>
                <w:lang w:eastAsia="en-GB"/>
              </w:rPr>
              <w:t>MAH transfer national requirements</w:t>
            </w:r>
          </w:p>
          <w:p w:rsidR="00186342" w:rsidRDefault="00186342" w:rsidP="00F6066D">
            <w:pPr>
              <w:rPr>
                <w:rFonts w:ascii="Verdana" w:eastAsia="Times New Roman" w:hAnsi="Verdana"/>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Pr="001A6744" w:rsidRDefault="009848B0" w:rsidP="001A6744">
            <w:pPr>
              <w:pStyle w:val="ListParagraph"/>
              <w:numPr>
                <w:ilvl w:val="0"/>
                <w:numId w:val="19"/>
              </w:numPr>
              <w:rPr>
                <w:rFonts w:ascii="Verdana" w:eastAsia="Times New Roman" w:hAnsi="Verdana"/>
                <w:sz w:val="18"/>
                <w:szCs w:val="18"/>
                <w:lang w:eastAsia="en-GB"/>
              </w:rPr>
            </w:pPr>
            <w:r w:rsidRPr="001A6744">
              <w:rPr>
                <w:rFonts w:ascii="Verdana" w:eastAsia="Times New Roman" w:hAnsi="Verdana"/>
                <w:sz w:val="18"/>
                <w:szCs w:val="18"/>
                <w:lang w:eastAsia="en-GB"/>
              </w:rPr>
              <w:t>Industry is encountering additional national requirements following an MAH Transfer for a centralised product (e.g. requirements for submission of a national variation to implement the opinion).  These undermine the agreed position within the CHMP opinion and EC Decision.  Can EMA support engagement with HMA/CMDh to confirm that no additional steps are needed at a national level?</w:t>
            </w:r>
          </w:p>
          <w:p w:rsidR="008C5A25" w:rsidRPr="009F7C28" w:rsidRDefault="008C5A25" w:rsidP="00EB7750">
            <w:pPr>
              <w:divId w:val="1072384822"/>
              <w:rPr>
                <w:rFonts w:eastAsia="Times New Roman"/>
                <w:sz w:val="24"/>
                <w:szCs w:val="24"/>
                <w:lang w:eastAsia="nl-NL"/>
              </w:rPr>
            </w:pPr>
            <w:r w:rsidRPr="00C41A04">
              <w:rPr>
                <w:rFonts w:ascii="Verdana" w:eastAsia="Times New Roman" w:hAnsi="Verdana"/>
                <w:b/>
                <w:color w:val="FF0000"/>
                <w:sz w:val="18"/>
                <w:szCs w:val="18"/>
                <w:lang w:eastAsia="en-GB"/>
              </w:rPr>
              <w:t>Response:</w:t>
            </w:r>
            <w:r w:rsidR="00C41A04">
              <w:rPr>
                <w:rFonts w:ascii="Verdana" w:eastAsia="Times New Roman" w:hAnsi="Verdana"/>
                <w:color w:val="FF0000"/>
                <w:sz w:val="18"/>
                <w:szCs w:val="18"/>
                <w:lang w:eastAsia="en-GB"/>
              </w:rPr>
              <w:t xml:space="preserve"> </w:t>
            </w:r>
            <w:r w:rsidR="00344A33" w:rsidRPr="00C41A04">
              <w:rPr>
                <w:rFonts w:ascii="Verdana" w:eastAsia="Times New Roman" w:hAnsi="Verdana"/>
                <w:color w:val="FF0000"/>
                <w:sz w:val="18"/>
                <w:szCs w:val="18"/>
                <w:lang w:eastAsia="en-GB"/>
              </w:rPr>
              <w:t xml:space="preserve">No further </w:t>
            </w:r>
            <w:r w:rsidR="00C41A04">
              <w:rPr>
                <w:rFonts w:ascii="Verdana" w:eastAsia="Times New Roman" w:hAnsi="Verdana"/>
                <w:color w:val="FF0000"/>
                <w:sz w:val="18"/>
                <w:szCs w:val="18"/>
                <w:lang w:eastAsia="en-GB"/>
              </w:rPr>
              <w:t>discussions</w:t>
            </w:r>
            <w:r w:rsidR="00344A33" w:rsidRPr="00C41A04">
              <w:rPr>
                <w:rFonts w:ascii="Verdana" w:eastAsia="Times New Roman" w:hAnsi="Verdana"/>
                <w:color w:val="FF0000"/>
                <w:sz w:val="18"/>
                <w:szCs w:val="18"/>
                <w:lang w:eastAsia="en-GB"/>
              </w:rPr>
              <w:t xml:space="preserve">. </w:t>
            </w:r>
            <w:r w:rsidR="00CA2689">
              <w:rPr>
                <w:rFonts w:ascii="Verdana" w:eastAsia="Times New Roman" w:hAnsi="Verdana"/>
                <w:color w:val="FF0000"/>
                <w:sz w:val="18"/>
                <w:szCs w:val="18"/>
                <w:lang w:eastAsia="en-GB"/>
              </w:rPr>
              <w:t xml:space="preserve">EMA will discuss with CMDh and HMA Task Force. </w:t>
            </w:r>
            <w:r w:rsidR="00EB7750">
              <w:rPr>
                <w:rFonts w:ascii="Verdana" w:eastAsia="Times New Roman" w:hAnsi="Verdana"/>
                <w:color w:val="FF0000"/>
                <w:sz w:val="18"/>
                <w:szCs w:val="18"/>
                <w:lang w:eastAsia="en-GB"/>
              </w:rPr>
              <w:t>EMA are not aware of this situation and c</w:t>
            </w:r>
            <w:r w:rsidR="00EB7750" w:rsidRPr="00C41A04">
              <w:rPr>
                <w:rFonts w:ascii="Verdana" w:eastAsia="Times New Roman" w:hAnsi="Verdana"/>
                <w:color w:val="FF0000"/>
                <w:sz w:val="18"/>
                <w:szCs w:val="18"/>
                <w:lang w:eastAsia="en-GB"/>
              </w:rPr>
              <w:t>ompanies are advised to</w:t>
            </w:r>
            <w:r w:rsidR="00EB7750">
              <w:rPr>
                <w:rFonts w:ascii="Verdana" w:eastAsia="Times New Roman" w:hAnsi="Verdana"/>
                <w:color w:val="FF0000"/>
                <w:sz w:val="18"/>
                <w:szCs w:val="18"/>
                <w:lang w:eastAsia="en-GB"/>
              </w:rPr>
              <w:t xml:space="preserve"> share any </w:t>
            </w:r>
            <w:r w:rsidR="00EB7750" w:rsidRPr="00C41A04">
              <w:rPr>
                <w:rFonts w:ascii="Verdana" w:eastAsia="Times New Roman" w:hAnsi="Verdana"/>
                <w:color w:val="FF0000"/>
                <w:sz w:val="18"/>
                <w:szCs w:val="18"/>
                <w:lang w:eastAsia="en-GB"/>
              </w:rPr>
              <w:t>examples</w:t>
            </w:r>
            <w:r w:rsidR="00EB7750">
              <w:rPr>
                <w:rFonts w:ascii="Verdana" w:eastAsia="Times New Roman" w:hAnsi="Verdana"/>
                <w:color w:val="FF0000"/>
                <w:sz w:val="18"/>
                <w:szCs w:val="18"/>
                <w:lang w:eastAsia="en-GB"/>
              </w:rPr>
              <w:t>.</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Manufacturing and Supply</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1A6744">
              <w:rPr>
                <w:rFonts w:ascii="Verdana" w:eastAsia="Times New Roman" w:hAnsi="Verdana"/>
                <w:sz w:val="18"/>
                <w:szCs w:val="18"/>
                <w:lang w:eastAsia="en-GB"/>
              </w:rPr>
              <w:t>Products placed on the market</w:t>
            </w:r>
          </w:p>
          <w:p w:rsidR="007A2B19" w:rsidRDefault="007A2B19" w:rsidP="00F6066D">
            <w:pPr>
              <w:rPr>
                <w:rFonts w:ascii="Verdana" w:eastAsia="Times New Roman" w:hAnsi="Verdana"/>
                <w:sz w:val="18"/>
                <w:szCs w:val="18"/>
                <w:lang w:eastAsia="en-GB"/>
              </w:rPr>
            </w:pPr>
          </w:p>
          <w:p w:rsidR="007A2B19"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Multipacks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Pr="00CA2689" w:rsidRDefault="009848B0" w:rsidP="00CA2689">
            <w:pPr>
              <w:rPr>
                <w:rFonts w:ascii="Verdana" w:eastAsia="Times New Roman" w:hAnsi="Verdana"/>
                <w:sz w:val="18"/>
                <w:szCs w:val="18"/>
                <w:lang w:eastAsia="en-GB"/>
              </w:rPr>
            </w:pPr>
            <w:r w:rsidRPr="00CA2689">
              <w:rPr>
                <w:rFonts w:ascii="Verdana" w:eastAsia="Times New Roman" w:hAnsi="Verdana"/>
                <w:sz w:val="18"/>
                <w:szCs w:val="18"/>
                <w:lang w:eastAsia="en-GB"/>
              </w:rPr>
              <w:t>It has already been stated that products that have been placed on the market prior to the date that the UK leaves the EU can remain on the market.</w:t>
            </w:r>
          </w:p>
          <w:p w:rsidR="00C41A04" w:rsidRDefault="00C41A04" w:rsidP="001A6744">
            <w:pPr>
              <w:pStyle w:val="ListParagraph"/>
              <w:ind w:left="360"/>
              <w:rPr>
                <w:rFonts w:ascii="Verdana" w:eastAsia="Times New Roman" w:hAnsi="Verdana"/>
                <w:sz w:val="18"/>
                <w:szCs w:val="18"/>
                <w:lang w:eastAsia="en-GB"/>
              </w:rPr>
            </w:pPr>
          </w:p>
          <w:p w:rsidR="00186342" w:rsidRDefault="009848B0" w:rsidP="001A6744">
            <w:pPr>
              <w:pStyle w:val="ListParagraph"/>
              <w:numPr>
                <w:ilvl w:val="0"/>
                <w:numId w:val="19"/>
              </w:numPr>
              <w:rPr>
                <w:rFonts w:ascii="Verdana" w:eastAsia="Times New Roman" w:hAnsi="Verdana"/>
                <w:sz w:val="18"/>
                <w:szCs w:val="18"/>
                <w:lang w:eastAsia="en-GB"/>
              </w:rPr>
            </w:pPr>
            <w:r w:rsidRPr="001A6744">
              <w:rPr>
                <w:rFonts w:ascii="Verdana" w:eastAsia="Times New Roman" w:hAnsi="Verdana"/>
                <w:sz w:val="18"/>
                <w:szCs w:val="18"/>
                <w:lang w:eastAsia="en-GB"/>
              </w:rPr>
              <w:t>We presume that ‘placed on the market’ means the product has been QP-released by the manufacturer and placed into the distribution chain, can the EMA/COM confirm this interpretation is correct?</w:t>
            </w:r>
          </w:p>
          <w:p w:rsidR="00A75445" w:rsidRDefault="005C165D" w:rsidP="00A75445">
            <w:pPr>
              <w:rPr>
                <w:rFonts w:ascii="Calibri" w:eastAsia="Times New Roman" w:hAnsi="Calibri"/>
                <w:color w:val="FF0000"/>
                <w:szCs w:val="22"/>
                <w:lang w:eastAsia="nl-NL"/>
              </w:rPr>
            </w:pPr>
            <w:r w:rsidRPr="00CA2689">
              <w:rPr>
                <w:rFonts w:ascii="Verdana" w:eastAsia="Times New Roman" w:hAnsi="Verdana"/>
                <w:b/>
                <w:color w:val="FF0000"/>
                <w:sz w:val="18"/>
                <w:szCs w:val="18"/>
                <w:lang w:eastAsia="en-GB"/>
              </w:rPr>
              <w:lastRenderedPageBreak/>
              <w:t>Response:</w:t>
            </w:r>
            <w:r w:rsidR="00CA2689" w:rsidRPr="00CA2689">
              <w:rPr>
                <w:rFonts w:ascii="Verdana" w:eastAsia="Times New Roman" w:hAnsi="Verdana"/>
                <w:color w:val="FF0000"/>
                <w:sz w:val="18"/>
                <w:szCs w:val="18"/>
                <w:lang w:eastAsia="en-GB"/>
              </w:rPr>
              <w:t xml:space="preserve"> </w:t>
            </w:r>
            <w:r w:rsidR="00720796" w:rsidRPr="00720796">
              <w:rPr>
                <w:rFonts w:ascii="Verdana" w:eastAsia="Times New Roman" w:hAnsi="Verdana"/>
                <w:color w:val="FF0000"/>
                <w:sz w:val="18"/>
                <w:szCs w:val="18"/>
                <w:lang w:eastAsia="en-GB"/>
              </w:rPr>
              <w:t xml:space="preserve">The “green section” of the draft withdrawal agreement states that product placed on the market prior to the UK leaving the EU can stay on the market.  </w:t>
            </w:r>
            <w:r w:rsidR="00720796" w:rsidRPr="00720796">
              <w:rPr>
                <w:rFonts w:ascii="Calibri" w:eastAsia="Times New Roman" w:hAnsi="Calibri"/>
                <w:color w:val="FF0000"/>
                <w:szCs w:val="22"/>
                <w:lang w:eastAsia="nl-NL"/>
              </w:rPr>
              <w:t>Definition of placed on the market</w:t>
            </w:r>
            <w:r w:rsidR="00147925">
              <w:rPr>
                <w:rFonts w:ascii="Calibri" w:eastAsia="Times New Roman" w:hAnsi="Calibri"/>
                <w:color w:val="FF0000"/>
                <w:szCs w:val="22"/>
                <w:lang w:eastAsia="nl-NL"/>
              </w:rPr>
              <w:t xml:space="preserve">: when a </w:t>
            </w:r>
            <w:r w:rsidR="00720796" w:rsidRPr="00720796">
              <w:rPr>
                <w:rFonts w:ascii="Calibri" w:eastAsia="Times New Roman" w:hAnsi="Calibri"/>
                <w:color w:val="FF0000"/>
                <w:szCs w:val="22"/>
                <w:lang w:eastAsia="nl-NL"/>
              </w:rPr>
              <w:t>product enters distribution chain after QP release it can stay on the market</w:t>
            </w:r>
            <w:r w:rsidR="00CA2689">
              <w:rPr>
                <w:rFonts w:ascii="Calibri" w:eastAsia="Times New Roman" w:hAnsi="Calibri"/>
                <w:color w:val="FF0000"/>
                <w:szCs w:val="22"/>
                <w:lang w:eastAsia="nl-NL"/>
              </w:rPr>
              <w:t>, this i</w:t>
            </w:r>
            <w:r w:rsidR="00A75445" w:rsidRPr="00CA2689">
              <w:rPr>
                <w:rFonts w:ascii="Calibri" w:eastAsia="Times New Roman" w:hAnsi="Calibri"/>
                <w:color w:val="FF0000"/>
                <w:szCs w:val="22"/>
                <w:lang w:eastAsia="nl-NL"/>
              </w:rPr>
              <w:t>ncludes named patient supplies.</w:t>
            </w:r>
          </w:p>
          <w:p w:rsidR="005C165D" w:rsidRPr="005C165D" w:rsidRDefault="005C165D" w:rsidP="005C165D">
            <w:pPr>
              <w:rPr>
                <w:rFonts w:ascii="Verdana" w:eastAsia="Times New Roman" w:hAnsi="Verdana"/>
                <w:sz w:val="18"/>
                <w:szCs w:val="18"/>
                <w:lang w:eastAsia="en-GB"/>
              </w:rPr>
            </w:pPr>
          </w:p>
          <w:p w:rsidR="00186342" w:rsidRDefault="009848B0" w:rsidP="001A6744">
            <w:pPr>
              <w:pStyle w:val="ListParagraph"/>
              <w:numPr>
                <w:ilvl w:val="0"/>
                <w:numId w:val="19"/>
              </w:numPr>
              <w:rPr>
                <w:rFonts w:ascii="Verdana" w:eastAsia="Times New Roman" w:hAnsi="Verdana"/>
                <w:sz w:val="18"/>
                <w:szCs w:val="18"/>
                <w:lang w:eastAsia="en-GB"/>
              </w:rPr>
            </w:pPr>
            <w:r w:rsidRPr="001A6744">
              <w:rPr>
                <w:rFonts w:ascii="Verdana" w:eastAsia="Times New Roman" w:hAnsi="Verdana"/>
                <w:sz w:val="18"/>
                <w:szCs w:val="18"/>
                <w:lang w:eastAsia="en-GB"/>
              </w:rPr>
              <w:t>Is there a potential for an arrangement for continuation of multi-country packs after UK leaves the EU? This would support public health in the EU especially in smaller markets such as Ireland, Malta and Cyprus.</w:t>
            </w:r>
          </w:p>
          <w:p w:rsidR="00344A33" w:rsidRDefault="00344A33" w:rsidP="00344A33">
            <w:pPr>
              <w:rPr>
                <w:rFonts w:ascii="Verdana" w:eastAsia="Times New Roman" w:hAnsi="Verdana"/>
                <w:sz w:val="18"/>
                <w:szCs w:val="18"/>
                <w:lang w:eastAsia="en-GB"/>
              </w:rPr>
            </w:pPr>
          </w:p>
          <w:p w:rsidR="007D693B" w:rsidRDefault="00452680">
            <w:pPr>
              <w:divId w:val="696085019"/>
              <w:rPr>
                <w:rFonts w:ascii="Calibri" w:eastAsia="Times New Roman" w:hAnsi="Calibri"/>
                <w:color w:val="FF0000"/>
                <w:szCs w:val="22"/>
                <w:lang w:eastAsia="nl-NL"/>
              </w:rPr>
            </w:pPr>
            <w:r w:rsidRPr="00CA2689">
              <w:rPr>
                <w:rFonts w:ascii="Verdana" w:eastAsia="Times New Roman" w:hAnsi="Verdana"/>
                <w:b/>
                <w:color w:val="FF0000"/>
                <w:sz w:val="18"/>
                <w:szCs w:val="18"/>
                <w:lang w:eastAsia="en-GB"/>
              </w:rPr>
              <w:t>Response:</w:t>
            </w:r>
            <w:r w:rsidRPr="00CA2689">
              <w:rPr>
                <w:rFonts w:ascii="Verdana" w:eastAsia="Times New Roman" w:hAnsi="Verdana"/>
                <w:color w:val="FF0000"/>
                <w:sz w:val="18"/>
                <w:szCs w:val="18"/>
                <w:lang w:eastAsia="en-GB"/>
              </w:rPr>
              <w:t xml:space="preserve"> </w:t>
            </w:r>
            <w:r w:rsidR="007D693B" w:rsidRPr="00CA2689">
              <w:rPr>
                <w:rFonts w:ascii="Calibri" w:eastAsia="Times New Roman" w:hAnsi="Calibri"/>
                <w:color w:val="FF0000"/>
                <w:szCs w:val="22"/>
                <w:lang w:eastAsia="nl-NL"/>
              </w:rPr>
              <w:t xml:space="preserve">no prior example of having a third country on the packaging of an EU product.  EMA is exploring whether this could be possible but only when </w:t>
            </w:r>
            <w:r w:rsidR="00CA2689" w:rsidRPr="00CA2689">
              <w:rPr>
                <w:rFonts w:ascii="Calibri" w:eastAsia="Times New Roman" w:hAnsi="Calibri"/>
                <w:color w:val="FF0000"/>
                <w:szCs w:val="22"/>
                <w:lang w:eastAsia="nl-NL"/>
              </w:rPr>
              <w:t>labelling</w:t>
            </w:r>
            <w:r w:rsidR="007D693B" w:rsidRPr="00CA2689">
              <w:rPr>
                <w:rFonts w:ascii="Calibri" w:eastAsia="Times New Roman" w:hAnsi="Calibri"/>
                <w:color w:val="FF0000"/>
                <w:szCs w:val="22"/>
                <w:lang w:eastAsia="nl-NL"/>
              </w:rPr>
              <w:t xml:space="preserve"> remains fully harmonized </w:t>
            </w:r>
            <w:r w:rsidR="00816141" w:rsidRPr="00CA2689">
              <w:rPr>
                <w:rFonts w:ascii="Calibri" w:eastAsia="Times New Roman" w:hAnsi="Calibri"/>
                <w:color w:val="FF0000"/>
                <w:szCs w:val="22"/>
                <w:lang w:eastAsia="nl-NL"/>
              </w:rPr>
              <w:t>–</w:t>
            </w:r>
            <w:r w:rsidR="007D693B" w:rsidRPr="00CA2689">
              <w:rPr>
                <w:rFonts w:ascii="Calibri" w:eastAsia="Times New Roman" w:hAnsi="Calibri"/>
                <w:color w:val="FF0000"/>
                <w:szCs w:val="22"/>
                <w:lang w:eastAsia="nl-NL"/>
              </w:rPr>
              <w:t xml:space="preserve"> </w:t>
            </w:r>
            <w:r w:rsidR="00816141" w:rsidRPr="00CA2689">
              <w:rPr>
                <w:rFonts w:ascii="Calibri" w:eastAsia="Times New Roman" w:hAnsi="Calibri"/>
                <w:color w:val="FF0000"/>
                <w:szCs w:val="22"/>
                <w:lang w:eastAsia="nl-NL"/>
              </w:rPr>
              <w:t xml:space="preserve">EMA </w:t>
            </w:r>
            <w:r w:rsidR="007D693B" w:rsidRPr="00CA2689">
              <w:rPr>
                <w:rFonts w:ascii="Calibri" w:eastAsia="Times New Roman" w:hAnsi="Calibri"/>
                <w:color w:val="FF0000"/>
                <w:szCs w:val="22"/>
                <w:lang w:eastAsia="nl-NL"/>
              </w:rPr>
              <w:t>will communicate to industry when a final decision is reached.</w:t>
            </w:r>
          </w:p>
          <w:p w:rsidR="00344A33" w:rsidRPr="00344A33" w:rsidRDefault="00344A33" w:rsidP="00147925">
            <w:pPr>
              <w:divId w:val="696085019"/>
              <w:rPr>
                <w:rFonts w:ascii="Verdana" w:eastAsia="Times New Roman" w:hAnsi="Verdana"/>
                <w:sz w:val="18"/>
                <w:szCs w:val="18"/>
                <w:lang w:eastAsia="en-GB"/>
              </w:rPr>
            </w:pP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lastRenderedPageBreak/>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Manufacturing and Supply</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Inspectorate Q&amp;A</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BB687D">
            <w:pPr>
              <w:pStyle w:val="ListParagraph"/>
              <w:numPr>
                <w:ilvl w:val="0"/>
                <w:numId w:val="19"/>
              </w:numPr>
              <w:rPr>
                <w:rFonts w:ascii="Verdana" w:eastAsia="Times New Roman" w:hAnsi="Verdana"/>
                <w:sz w:val="18"/>
                <w:szCs w:val="18"/>
                <w:lang w:eastAsia="en-GB"/>
              </w:rPr>
            </w:pPr>
            <w:r w:rsidRPr="00BB687D">
              <w:rPr>
                <w:rFonts w:ascii="Verdana" w:eastAsia="Times New Roman" w:hAnsi="Verdana"/>
                <w:sz w:val="18"/>
                <w:szCs w:val="18"/>
                <w:lang w:eastAsia="en-GB"/>
              </w:rPr>
              <w:t xml:space="preserve">In various meetings EMA mentioned the publication of a Q&amp;A with EU inspectorate sections to clarify in writing some question like acceptance of UK GMP certificate after Brexit, how re-inspection program will be conducted, impact on renewal if EU GMP has not been granted prior a UK GMP expires, etc... Please </w:t>
            </w:r>
            <w:r w:rsidR="00CA2689" w:rsidRPr="00BB687D">
              <w:rPr>
                <w:rFonts w:ascii="Verdana" w:eastAsia="Times New Roman" w:hAnsi="Verdana"/>
                <w:sz w:val="18"/>
                <w:szCs w:val="18"/>
                <w:lang w:eastAsia="en-GB"/>
              </w:rPr>
              <w:t>clarify</w:t>
            </w:r>
            <w:r w:rsidRPr="00BB687D">
              <w:rPr>
                <w:rFonts w:ascii="Verdana" w:eastAsia="Times New Roman" w:hAnsi="Verdana"/>
                <w:sz w:val="18"/>
                <w:szCs w:val="18"/>
                <w:lang w:eastAsia="en-GB"/>
              </w:rPr>
              <w:t xml:space="preserve"> status and timelines for this Q&amp;A.</w:t>
            </w:r>
          </w:p>
          <w:p w:rsidR="00EB7750" w:rsidRDefault="00816141" w:rsidP="00EB7750">
            <w:pPr>
              <w:divId w:val="137961067"/>
              <w:rPr>
                <w:rFonts w:ascii="Calibri" w:eastAsia="Times New Roman" w:hAnsi="Calibri"/>
                <w:color w:val="FF0000"/>
                <w:szCs w:val="22"/>
                <w:lang w:eastAsia="nl-NL"/>
              </w:rPr>
            </w:pPr>
            <w:r w:rsidRPr="00CA2689">
              <w:rPr>
                <w:rFonts w:ascii="Verdana" w:eastAsia="Times New Roman" w:hAnsi="Verdana"/>
                <w:b/>
                <w:color w:val="FF0000"/>
                <w:sz w:val="18"/>
                <w:szCs w:val="18"/>
                <w:lang w:eastAsia="en-GB"/>
              </w:rPr>
              <w:t>Response:</w:t>
            </w:r>
            <w:r w:rsidR="005640BD" w:rsidRPr="00CA2689">
              <w:rPr>
                <w:rFonts w:ascii="Calibri" w:eastAsia="Times New Roman" w:hAnsi="Calibri"/>
                <w:color w:val="FF0000"/>
                <w:szCs w:val="22"/>
              </w:rPr>
              <w:t xml:space="preserve"> </w:t>
            </w:r>
            <w:r w:rsidR="005640BD" w:rsidRPr="00CA2689">
              <w:rPr>
                <w:rFonts w:ascii="Calibri" w:eastAsia="Times New Roman" w:hAnsi="Calibri"/>
                <w:color w:val="FF0000"/>
                <w:szCs w:val="22"/>
                <w:lang w:eastAsia="nl-NL"/>
              </w:rPr>
              <w:t xml:space="preserve">GMP certificates issued </w:t>
            </w:r>
            <w:r w:rsidR="005640BD" w:rsidRPr="00147925">
              <w:rPr>
                <w:rFonts w:ascii="Calibri" w:eastAsia="Times New Roman" w:hAnsi="Calibri"/>
                <w:color w:val="FF0000"/>
                <w:szCs w:val="22"/>
                <w:lang w:eastAsia="nl-NL"/>
              </w:rPr>
              <w:t xml:space="preserve">by </w:t>
            </w:r>
            <w:r w:rsidR="00CA2689" w:rsidRPr="00147925">
              <w:rPr>
                <w:rFonts w:ascii="Calibri" w:eastAsia="Times New Roman" w:hAnsi="Calibri"/>
                <w:color w:val="FF0000"/>
                <w:szCs w:val="22"/>
                <w:lang w:eastAsia="nl-NL"/>
              </w:rPr>
              <w:t xml:space="preserve">UK </w:t>
            </w:r>
            <w:hyperlink r:id="rId8" w:history="1">
              <w:r w:rsidR="005640BD" w:rsidRPr="00147925">
                <w:rPr>
                  <w:rFonts w:ascii="Calibri" w:eastAsia="Times New Roman" w:hAnsi="Calibri"/>
                  <w:color w:val="FF0000"/>
                  <w:szCs w:val="22"/>
                  <w:lang w:eastAsia="nl-NL"/>
                </w:rPr>
                <w:t>after 30 March 2018</w:t>
              </w:r>
            </w:hyperlink>
            <w:r w:rsidR="005640BD" w:rsidRPr="00CA2689">
              <w:rPr>
                <w:rFonts w:ascii="Calibri" w:eastAsia="Times New Roman" w:hAnsi="Calibri"/>
                <w:color w:val="FF0000"/>
                <w:szCs w:val="22"/>
                <w:lang w:eastAsia="nl-NL"/>
              </w:rPr>
              <w:t xml:space="preserve"> will be from a third country and so can only be </w:t>
            </w:r>
            <w:r w:rsidR="00CA2689">
              <w:rPr>
                <w:rFonts w:ascii="Calibri" w:eastAsia="Times New Roman" w:hAnsi="Calibri"/>
                <w:color w:val="FF0000"/>
                <w:szCs w:val="22"/>
                <w:lang w:eastAsia="nl-NL"/>
              </w:rPr>
              <w:t xml:space="preserve">considered as </w:t>
            </w:r>
            <w:r w:rsidR="005640BD" w:rsidRPr="00CA2689">
              <w:rPr>
                <w:rFonts w:ascii="Calibri" w:eastAsia="Times New Roman" w:hAnsi="Calibri"/>
                <w:color w:val="FF0000"/>
                <w:szCs w:val="22"/>
                <w:lang w:eastAsia="nl-NL"/>
              </w:rPr>
              <w:t>supporting information</w:t>
            </w:r>
            <w:r w:rsidR="00CA2689">
              <w:rPr>
                <w:rFonts w:ascii="Calibri" w:eastAsia="Times New Roman" w:hAnsi="Calibri"/>
                <w:color w:val="FF0000"/>
                <w:szCs w:val="22"/>
                <w:lang w:eastAsia="nl-NL"/>
              </w:rPr>
              <w:t xml:space="preserve">, </w:t>
            </w:r>
            <w:r w:rsidR="00147925">
              <w:rPr>
                <w:rFonts w:ascii="Calibri" w:eastAsia="Times New Roman" w:hAnsi="Calibri"/>
                <w:color w:val="FF0000"/>
                <w:szCs w:val="22"/>
                <w:lang w:eastAsia="nl-NL"/>
              </w:rPr>
              <w:t xml:space="preserve">and </w:t>
            </w:r>
            <w:r w:rsidR="003C7423" w:rsidRPr="003C7423">
              <w:rPr>
                <w:rFonts w:ascii="Calibri" w:eastAsia="Times New Roman" w:hAnsi="Calibri"/>
                <w:color w:val="FF0000"/>
                <w:szCs w:val="22"/>
                <w:lang w:eastAsia="nl-NL"/>
              </w:rPr>
              <w:t>won’t be able to replace EU- GMP certificates</w:t>
            </w:r>
            <w:r w:rsidR="003C7423">
              <w:rPr>
                <w:rFonts w:ascii="Calibri" w:eastAsia="Times New Roman" w:hAnsi="Calibri"/>
                <w:color w:val="FF0000"/>
                <w:szCs w:val="22"/>
                <w:lang w:eastAsia="nl-NL"/>
              </w:rPr>
              <w:t xml:space="preserve">. </w:t>
            </w:r>
            <w:r w:rsidR="00147925">
              <w:rPr>
                <w:rFonts w:ascii="Calibri" w:eastAsia="Times New Roman" w:hAnsi="Calibri"/>
                <w:color w:val="FF0000"/>
                <w:szCs w:val="22"/>
                <w:lang w:eastAsia="nl-NL"/>
              </w:rPr>
              <w:t>However,</w:t>
            </w:r>
            <w:r w:rsidR="00CA2689">
              <w:rPr>
                <w:rFonts w:ascii="Calibri" w:eastAsia="Times New Roman" w:hAnsi="Calibri"/>
                <w:color w:val="FF0000"/>
                <w:szCs w:val="22"/>
                <w:lang w:eastAsia="nl-NL"/>
              </w:rPr>
              <w:t xml:space="preserve"> </w:t>
            </w:r>
            <w:r w:rsidR="003C7423">
              <w:rPr>
                <w:rFonts w:ascii="Calibri" w:eastAsia="Times New Roman" w:hAnsi="Calibri"/>
                <w:color w:val="FF0000"/>
                <w:szCs w:val="22"/>
                <w:lang w:eastAsia="nl-NL"/>
              </w:rPr>
              <w:t xml:space="preserve">it </w:t>
            </w:r>
            <w:r w:rsidR="00CA2689">
              <w:rPr>
                <w:rFonts w:ascii="Calibri" w:eastAsia="Times New Roman" w:hAnsi="Calibri"/>
                <w:color w:val="FF0000"/>
                <w:szCs w:val="22"/>
                <w:lang w:eastAsia="nl-NL"/>
              </w:rPr>
              <w:t xml:space="preserve">can be used as </w:t>
            </w:r>
            <w:r w:rsidR="005640BD" w:rsidRPr="00CA2689">
              <w:rPr>
                <w:rFonts w:ascii="Calibri" w:eastAsia="Times New Roman" w:hAnsi="Calibri"/>
                <w:color w:val="FF0000"/>
                <w:szCs w:val="22"/>
                <w:lang w:eastAsia="nl-NL"/>
              </w:rPr>
              <w:t>part of a risk based approach</w:t>
            </w:r>
            <w:r w:rsidR="00D37B79" w:rsidRPr="00CA2689">
              <w:rPr>
                <w:rFonts w:ascii="Calibri" w:eastAsia="Times New Roman" w:hAnsi="Calibri"/>
                <w:color w:val="FF0000"/>
                <w:szCs w:val="22"/>
                <w:lang w:eastAsia="nl-NL"/>
              </w:rPr>
              <w:t xml:space="preserve"> / planning.</w:t>
            </w:r>
            <w:r w:rsidR="007573F4" w:rsidRPr="00CA2689">
              <w:rPr>
                <w:rFonts w:ascii="Calibri" w:eastAsia="Times New Roman" w:hAnsi="Calibri"/>
                <w:color w:val="FF0000"/>
                <w:szCs w:val="22"/>
                <w:lang w:eastAsia="nl-NL"/>
              </w:rPr>
              <w:t xml:space="preserve"> </w:t>
            </w:r>
            <w:r w:rsidR="003C7423" w:rsidRPr="003C7423">
              <w:rPr>
                <w:rFonts w:ascii="Calibri" w:eastAsia="Times New Roman" w:hAnsi="Calibri"/>
                <w:color w:val="FF0000"/>
                <w:szCs w:val="22"/>
                <w:lang w:eastAsia="nl-NL"/>
              </w:rPr>
              <w:t xml:space="preserve">EMA is drawing up </w:t>
            </w:r>
            <w:r w:rsidR="00EB7750">
              <w:rPr>
                <w:rFonts w:ascii="Calibri" w:eastAsia="Times New Roman" w:hAnsi="Calibri"/>
                <w:color w:val="FF0000"/>
                <w:szCs w:val="22"/>
                <w:lang w:eastAsia="nl-NL"/>
              </w:rPr>
              <w:t xml:space="preserve">a list </w:t>
            </w:r>
            <w:r w:rsidR="00EB7750" w:rsidRPr="003C7423">
              <w:rPr>
                <w:rFonts w:ascii="Calibri" w:eastAsia="Times New Roman" w:hAnsi="Calibri"/>
                <w:color w:val="FF0000"/>
                <w:szCs w:val="22"/>
                <w:lang w:eastAsia="nl-NL"/>
              </w:rPr>
              <w:t xml:space="preserve">of </w:t>
            </w:r>
            <w:r w:rsidR="00EB7750">
              <w:rPr>
                <w:rFonts w:ascii="Calibri" w:eastAsia="Times New Roman" w:hAnsi="Calibri"/>
                <w:color w:val="FF0000"/>
                <w:szCs w:val="22"/>
                <w:lang w:eastAsia="nl-NL"/>
              </w:rPr>
              <w:t>3</w:t>
            </w:r>
            <w:r w:rsidR="00EB7750" w:rsidRPr="00DF555A">
              <w:rPr>
                <w:rFonts w:ascii="Calibri" w:eastAsia="Times New Roman" w:hAnsi="Calibri"/>
                <w:color w:val="FF0000"/>
                <w:szCs w:val="22"/>
                <w:vertAlign w:val="superscript"/>
                <w:lang w:eastAsia="nl-NL"/>
              </w:rPr>
              <w:t>rd</w:t>
            </w:r>
            <w:r w:rsidR="00EB7750">
              <w:rPr>
                <w:rFonts w:ascii="Calibri" w:eastAsia="Times New Roman" w:hAnsi="Calibri"/>
                <w:color w:val="FF0000"/>
                <w:szCs w:val="22"/>
                <w:lang w:eastAsia="nl-NL"/>
              </w:rPr>
              <w:t xml:space="preserve"> country sites currently inspected by the UK</w:t>
            </w:r>
            <w:r w:rsidR="00EB7750" w:rsidRPr="003C7423">
              <w:rPr>
                <w:rFonts w:ascii="Calibri" w:eastAsia="Times New Roman" w:hAnsi="Calibri"/>
                <w:color w:val="FF0000"/>
                <w:szCs w:val="22"/>
                <w:lang w:eastAsia="nl-NL"/>
              </w:rPr>
              <w:t xml:space="preserve"> where EU GMP certificates will need to be issued</w:t>
            </w:r>
            <w:r w:rsidR="00EB7750">
              <w:rPr>
                <w:rFonts w:ascii="Calibri" w:eastAsia="Times New Roman" w:hAnsi="Calibri"/>
                <w:color w:val="FF0000"/>
                <w:szCs w:val="22"/>
                <w:lang w:eastAsia="nl-NL"/>
              </w:rPr>
              <w:t xml:space="preserve"> on expiry of the current certificates issued by the UK</w:t>
            </w:r>
            <w:r w:rsidR="00EB7750" w:rsidRPr="003C7423">
              <w:rPr>
                <w:rFonts w:ascii="Calibri" w:eastAsia="Times New Roman" w:hAnsi="Calibri"/>
                <w:color w:val="FF0000"/>
                <w:szCs w:val="22"/>
                <w:lang w:eastAsia="nl-NL"/>
              </w:rPr>
              <w:t>.</w:t>
            </w:r>
          </w:p>
          <w:p w:rsidR="00C96668" w:rsidRPr="009F7C28" w:rsidRDefault="00C96668" w:rsidP="00EB7750">
            <w:pPr>
              <w:divId w:val="137961067"/>
              <w:rPr>
                <w:rFonts w:eastAsia="Times New Roman"/>
                <w:sz w:val="24"/>
                <w:szCs w:val="24"/>
                <w:lang w:eastAsia="nl-NL"/>
              </w:rPr>
            </w:pPr>
            <w:r>
              <w:rPr>
                <w:rFonts w:ascii="Verdana" w:eastAsia="Times New Roman" w:hAnsi="Verdana"/>
                <w:color w:val="FF0000"/>
                <w:sz w:val="18"/>
                <w:szCs w:val="18"/>
                <w:lang w:eastAsia="en-GB"/>
              </w:rPr>
              <w:br/>
            </w:r>
            <w:r w:rsidR="003C7423" w:rsidRPr="003C7423">
              <w:rPr>
                <w:rFonts w:ascii="Verdana" w:eastAsia="Times New Roman" w:hAnsi="Verdana"/>
                <w:color w:val="FF0000"/>
                <w:sz w:val="18"/>
                <w:szCs w:val="18"/>
                <w:lang w:eastAsia="en-GB"/>
              </w:rPr>
              <w:t xml:space="preserve">Arrangements for the transition </w:t>
            </w:r>
            <w:r w:rsidR="00147925" w:rsidRPr="003C7423">
              <w:rPr>
                <w:rFonts w:ascii="Verdana" w:eastAsia="Times New Roman" w:hAnsi="Verdana"/>
                <w:color w:val="FF0000"/>
                <w:sz w:val="18"/>
                <w:szCs w:val="18"/>
                <w:lang w:eastAsia="en-GB"/>
              </w:rPr>
              <w:t>period meaning</w:t>
            </w:r>
            <w:r w:rsidR="003C7423" w:rsidRPr="003C7423">
              <w:rPr>
                <w:rFonts w:ascii="Verdana" w:eastAsia="Times New Roman" w:hAnsi="Verdana"/>
                <w:color w:val="FF0000"/>
                <w:sz w:val="18"/>
                <w:szCs w:val="18"/>
                <w:lang w:eastAsia="en-GB"/>
              </w:rPr>
              <w:t xml:space="preserve"> of “UK acquis” is too uncertain.</w:t>
            </w:r>
            <w:r w:rsidR="00147925">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Remind that actual negotiations on future relationship will only be ratified upon withdrawal. We prepare for a withdrawal date of 29-03-2018.</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Certificate of pharmaceutical product (CPP)</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Recognition of the EMA signatories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BB687D">
            <w:pPr>
              <w:pStyle w:val="ListParagraph"/>
              <w:numPr>
                <w:ilvl w:val="0"/>
                <w:numId w:val="19"/>
              </w:numPr>
              <w:rPr>
                <w:rFonts w:ascii="Verdana" w:eastAsia="Times New Roman" w:hAnsi="Verdana"/>
                <w:sz w:val="18"/>
                <w:szCs w:val="18"/>
                <w:lang w:eastAsia="en-GB"/>
              </w:rPr>
            </w:pPr>
            <w:r w:rsidRPr="00BB687D">
              <w:rPr>
                <w:rFonts w:ascii="Verdana" w:eastAsia="Times New Roman" w:hAnsi="Verdana"/>
                <w:sz w:val="18"/>
                <w:szCs w:val="18"/>
                <w:lang w:eastAsia="en-GB"/>
              </w:rPr>
              <w:t>We understand that EMA CPP signatures are not recognized in the Netherlands and therefore each CPP issued by the EMA will also have to be sent to the Ministry of Foreign Affairs (MOFA) before being legalized. This would be an additional unnecessary step which will have an impact on costs and increase the processing timeline, potentially delaying regulatory submissions. Can the EMA advice if they will be seeking to gain recognition of the EMA signatories in the Netherlands?</w:t>
            </w:r>
          </w:p>
          <w:p w:rsidR="00D37B79" w:rsidRPr="00CA2689" w:rsidRDefault="00D37B79" w:rsidP="00CA2689">
            <w:pPr>
              <w:divId w:val="860125722"/>
              <w:rPr>
                <w:rFonts w:eastAsia="Times New Roman"/>
                <w:color w:val="FF0000"/>
                <w:sz w:val="24"/>
                <w:szCs w:val="24"/>
                <w:lang w:eastAsia="nl-NL"/>
              </w:rPr>
            </w:pPr>
            <w:r w:rsidRPr="00CA2689">
              <w:rPr>
                <w:rFonts w:ascii="Verdana" w:eastAsia="Times New Roman" w:hAnsi="Verdana"/>
                <w:b/>
                <w:color w:val="FF0000"/>
                <w:sz w:val="18"/>
                <w:szCs w:val="18"/>
                <w:lang w:eastAsia="en-GB"/>
              </w:rPr>
              <w:t>Response:</w:t>
            </w:r>
            <w:r w:rsidRPr="00CA2689">
              <w:rPr>
                <w:rFonts w:ascii="Verdana" w:eastAsia="Times New Roman" w:hAnsi="Verdana"/>
                <w:color w:val="FF0000"/>
                <w:sz w:val="18"/>
                <w:szCs w:val="18"/>
                <w:lang w:eastAsia="en-GB"/>
              </w:rPr>
              <w:t xml:space="preserve"> </w:t>
            </w:r>
            <w:r w:rsidR="00CA2689">
              <w:rPr>
                <w:rFonts w:ascii="Verdana" w:eastAsia="Times New Roman" w:hAnsi="Verdana"/>
                <w:color w:val="FF0000"/>
                <w:sz w:val="18"/>
                <w:szCs w:val="18"/>
                <w:lang w:eastAsia="en-GB"/>
              </w:rPr>
              <w:t xml:space="preserve">EMA don’t believe that CPPs need legalisation. Companies are requested to share further info. </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Certificate of pharmaceutical product (CPP)</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B687D">
              <w:rPr>
                <w:rFonts w:ascii="Verdana" w:eastAsia="Times New Roman" w:hAnsi="Verdana"/>
                <w:sz w:val="18"/>
                <w:szCs w:val="18"/>
                <w:lang w:eastAsia="en-GB"/>
              </w:rPr>
              <w:t>EMA legal entity on certificates/CPPs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BB687D">
            <w:pPr>
              <w:pStyle w:val="ListParagraph"/>
              <w:numPr>
                <w:ilvl w:val="0"/>
                <w:numId w:val="19"/>
              </w:numPr>
              <w:rPr>
                <w:rFonts w:ascii="Verdana" w:eastAsia="Times New Roman" w:hAnsi="Verdana"/>
                <w:sz w:val="18"/>
                <w:szCs w:val="18"/>
                <w:lang w:eastAsia="en-GB"/>
              </w:rPr>
            </w:pPr>
            <w:r w:rsidRPr="00BB687D">
              <w:rPr>
                <w:rFonts w:ascii="Verdana" w:eastAsia="Times New Roman" w:hAnsi="Verdana"/>
                <w:sz w:val="18"/>
                <w:szCs w:val="18"/>
                <w:lang w:eastAsia="en-GB"/>
              </w:rPr>
              <w:t>Taking into account the upcoming relocation of EMA and issuing certificates/CPPs could EMA advice when will be the effective date of the move from London to Amsterdam and to which address?</w:t>
            </w:r>
          </w:p>
          <w:p w:rsidR="001E7365" w:rsidRPr="001E7365" w:rsidRDefault="001E7365" w:rsidP="00EB7750">
            <w:pPr>
              <w:rPr>
                <w:rFonts w:ascii="Verdana" w:eastAsia="Times New Roman" w:hAnsi="Verdana"/>
                <w:sz w:val="18"/>
                <w:szCs w:val="18"/>
                <w:lang w:eastAsia="en-GB"/>
              </w:rPr>
            </w:pPr>
            <w:r w:rsidRPr="00CA2689">
              <w:rPr>
                <w:rFonts w:ascii="Verdana" w:eastAsia="Times New Roman" w:hAnsi="Verdana"/>
                <w:b/>
                <w:color w:val="FF0000"/>
                <w:sz w:val="18"/>
                <w:szCs w:val="18"/>
                <w:lang w:eastAsia="en-GB"/>
              </w:rPr>
              <w:t>Response:</w:t>
            </w:r>
            <w:r w:rsidRPr="00CA2689">
              <w:rPr>
                <w:rFonts w:ascii="Verdana" w:eastAsia="Times New Roman" w:hAnsi="Verdana"/>
                <w:color w:val="FF0000"/>
                <w:sz w:val="18"/>
                <w:szCs w:val="18"/>
                <w:lang w:eastAsia="en-GB"/>
              </w:rPr>
              <w:t xml:space="preserve"> </w:t>
            </w:r>
            <w:r w:rsidR="00CA2689">
              <w:rPr>
                <w:rFonts w:ascii="Verdana" w:eastAsia="Times New Roman" w:hAnsi="Verdana"/>
                <w:color w:val="FF0000"/>
                <w:sz w:val="18"/>
                <w:szCs w:val="18"/>
                <w:lang w:eastAsia="en-GB"/>
              </w:rPr>
              <w:t xml:space="preserve">CPP is effective on the date on which it is issued. </w:t>
            </w:r>
            <w:r w:rsidR="006B6184" w:rsidRPr="00CA2689">
              <w:rPr>
                <w:rFonts w:ascii="Verdana" w:eastAsia="Times New Roman" w:hAnsi="Verdana"/>
                <w:color w:val="FF0000"/>
                <w:sz w:val="18"/>
                <w:szCs w:val="18"/>
                <w:lang w:eastAsia="en-GB"/>
              </w:rPr>
              <w:t xml:space="preserve">On the date a certificate is issues it will contain the </w:t>
            </w:r>
            <w:r w:rsidR="00EB7750">
              <w:rPr>
                <w:rFonts w:ascii="Verdana" w:eastAsia="Times New Roman" w:hAnsi="Verdana"/>
                <w:color w:val="FF0000"/>
                <w:sz w:val="18"/>
                <w:szCs w:val="18"/>
                <w:lang w:eastAsia="en-GB"/>
              </w:rPr>
              <w:t>current</w:t>
            </w:r>
            <w:r w:rsidR="006B6184" w:rsidRPr="00CA2689">
              <w:rPr>
                <w:rFonts w:ascii="Verdana" w:eastAsia="Times New Roman" w:hAnsi="Verdana"/>
                <w:color w:val="FF0000"/>
                <w:sz w:val="18"/>
                <w:szCs w:val="18"/>
                <w:lang w:eastAsia="en-GB"/>
              </w:rPr>
              <w:t xml:space="preserve"> address</w:t>
            </w:r>
            <w:r w:rsidR="00EB7750">
              <w:rPr>
                <w:rFonts w:ascii="Verdana" w:eastAsia="Times New Roman" w:hAnsi="Verdana"/>
                <w:color w:val="FF0000"/>
                <w:sz w:val="18"/>
                <w:szCs w:val="18"/>
                <w:lang w:eastAsia="en-GB"/>
              </w:rPr>
              <w:t xml:space="preserve"> on that date</w:t>
            </w:r>
            <w:r w:rsidR="006B6184" w:rsidRPr="00CA2689">
              <w:rPr>
                <w:rFonts w:ascii="Verdana" w:eastAsia="Times New Roman" w:hAnsi="Verdana"/>
                <w:color w:val="FF0000"/>
                <w:sz w:val="18"/>
                <w:szCs w:val="18"/>
                <w:lang w:eastAsia="en-GB"/>
              </w:rPr>
              <w:t xml:space="preserve"> (please refer also to EMA relocation tracker on the website)</w:t>
            </w:r>
            <w:r w:rsidR="00CA2689">
              <w:rPr>
                <w:rFonts w:ascii="Verdana" w:eastAsia="Times New Roman" w:hAnsi="Verdana"/>
                <w:color w:val="FF0000"/>
                <w:sz w:val="18"/>
                <w:szCs w:val="18"/>
                <w:lang w:eastAsia="en-GB"/>
              </w:rPr>
              <w:t>.</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CP operational aspects</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EMA timeline for review</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66458D">
            <w:pPr>
              <w:pStyle w:val="ListParagraph"/>
              <w:numPr>
                <w:ilvl w:val="0"/>
                <w:numId w:val="19"/>
              </w:numPr>
              <w:rPr>
                <w:rFonts w:ascii="Verdana" w:eastAsia="Times New Roman" w:hAnsi="Verdana"/>
                <w:sz w:val="18"/>
                <w:szCs w:val="18"/>
                <w:lang w:eastAsia="en-GB"/>
              </w:rPr>
            </w:pPr>
            <w:r w:rsidRPr="0066458D">
              <w:rPr>
                <w:rFonts w:ascii="Verdana" w:eastAsia="Times New Roman" w:hAnsi="Verdana"/>
                <w:sz w:val="18"/>
                <w:szCs w:val="18"/>
                <w:lang w:eastAsia="en-GB"/>
              </w:rPr>
              <w:t>Given the volume of submissions and other ongoing activities, can the EMA confirm that they still expect the review timelines to remain the same?</w:t>
            </w:r>
          </w:p>
          <w:p w:rsidR="00C96668" w:rsidRPr="009F7C28" w:rsidRDefault="006B6184" w:rsidP="00EB7750">
            <w:pPr>
              <w:rPr>
                <w:rFonts w:ascii="Verdana" w:eastAsia="Times New Roman" w:hAnsi="Verdana"/>
                <w:sz w:val="18"/>
                <w:szCs w:val="18"/>
                <w:lang w:eastAsia="en-GB"/>
              </w:rPr>
            </w:pPr>
            <w:r w:rsidRPr="00CA2689">
              <w:rPr>
                <w:rFonts w:ascii="Verdana" w:eastAsia="Times New Roman" w:hAnsi="Verdana"/>
                <w:b/>
                <w:color w:val="FF0000"/>
                <w:sz w:val="18"/>
                <w:szCs w:val="18"/>
                <w:lang w:eastAsia="en-GB"/>
              </w:rPr>
              <w:t>Response:</w:t>
            </w:r>
            <w:r w:rsidRPr="00CA2689">
              <w:rPr>
                <w:rFonts w:ascii="Verdana" w:eastAsia="Times New Roman" w:hAnsi="Verdana"/>
                <w:color w:val="FF0000"/>
                <w:sz w:val="18"/>
                <w:szCs w:val="18"/>
                <w:lang w:eastAsia="en-GB"/>
              </w:rPr>
              <w:t xml:space="preserve"> </w:t>
            </w:r>
            <w:r w:rsidR="00CA2689">
              <w:rPr>
                <w:rFonts w:ascii="Verdana" w:eastAsia="Times New Roman" w:hAnsi="Verdana"/>
                <w:color w:val="FF0000"/>
                <w:sz w:val="18"/>
                <w:szCs w:val="18"/>
                <w:lang w:eastAsia="en-GB"/>
              </w:rPr>
              <w:t>EMA have put measures in place through their BCP to maintain their core activities.</w:t>
            </w:r>
            <w:r w:rsidR="00147925">
              <w:rPr>
                <w:rFonts w:ascii="Verdana" w:eastAsia="Times New Roman" w:hAnsi="Verdana"/>
                <w:color w:val="FF0000"/>
                <w:sz w:val="18"/>
                <w:szCs w:val="18"/>
                <w:lang w:eastAsia="en-GB"/>
              </w:rPr>
              <w:t xml:space="preserve"> </w:t>
            </w:r>
            <w:r w:rsidR="00C96668" w:rsidRPr="00147925">
              <w:rPr>
                <w:rFonts w:ascii="Verdana" w:eastAsia="Times New Roman" w:hAnsi="Verdana"/>
                <w:color w:val="FF0000"/>
                <w:sz w:val="18"/>
                <w:szCs w:val="18"/>
                <w:lang w:eastAsia="en-GB"/>
              </w:rPr>
              <w:t xml:space="preserve">Relocation in Q1 2019, </w:t>
            </w:r>
            <w:r w:rsidR="003C7423" w:rsidRPr="00147925">
              <w:rPr>
                <w:rFonts w:ascii="Verdana" w:eastAsia="Times New Roman" w:hAnsi="Verdana"/>
                <w:color w:val="FF0000"/>
                <w:sz w:val="18"/>
                <w:szCs w:val="18"/>
                <w:lang w:eastAsia="en-GB"/>
              </w:rPr>
              <w:t xml:space="preserve">Advice to industry don’t wait till last minute to make changes, don’t leave submission to </w:t>
            </w:r>
            <w:r w:rsidR="00EB7750">
              <w:rPr>
                <w:rFonts w:ascii="Verdana" w:eastAsia="Times New Roman" w:hAnsi="Verdana"/>
                <w:color w:val="FF0000"/>
                <w:sz w:val="18"/>
                <w:szCs w:val="18"/>
                <w:lang w:eastAsia="en-GB"/>
              </w:rPr>
              <w:t>Q1 2019</w:t>
            </w:r>
            <w:r w:rsidR="003C7423" w:rsidRPr="00147925">
              <w:rPr>
                <w:rFonts w:ascii="Verdana" w:eastAsia="Times New Roman" w:hAnsi="Verdana"/>
                <w:color w:val="FF0000"/>
                <w:sz w:val="18"/>
                <w:szCs w:val="18"/>
                <w:lang w:eastAsia="en-GB"/>
              </w:rPr>
              <w:t xml:space="preserve"> as EMA will be preparing to relocate.</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CP operational aspects</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Reallocation of (Co)-Rapporteurships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66458D">
            <w:pPr>
              <w:pStyle w:val="ListParagraph"/>
              <w:numPr>
                <w:ilvl w:val="0"/>
                <w:numId w:val="19"/>
              </w:numPr>
              <w:rPr>
                <w:rFonts w:ascii="Verdana" w:eastAsia="Times New Roman" w:hAnsi="Verdana"/>
                <w:sz w:val="18"/>
                <w:szCs w:val="18"/>
                <w:lang w:eastAsia="en-GB"/>
              </w:rPr>
            </w:pPr>
            <w:r w:rsidRPr="0066458D">
              <w:rPr>
                <w:rFonts w:ascii="Verdana" w:eastAsia="Times New Roman" w:hAnsi="Verdana"/>
                <w:sz w:val="18"/>
                <w:szCs w:val="18"/>
                <w:lang w:eastAsia="en-GB"/>
              </w:rPr>
              <w:t>Although it has been indicated that EMA is of the intention to communicate the re-allocation plans to MAHs around the end of 1Q, it would be helpful to have a better understanding of what the reallocation plans are, including expected timelines.</w:t>
            </w:r>
          </w:p>
          <w:p w:rsidR="00C96668" w:rsidRPr="009F7839" w:rsidRDefault="00F01ADD" w:rsidP="009470DF">
            <w:pPr>
              <w:divId w:val="1345522579"/>
              <w:rPr>
                <w:rFonts w:ascii="Calibri" w:eastAsia="Times New Roman" w:hAnsi="Calibri"/>
                <w:color w:val="FF0000"/>
                <w:szCs w:val="22"/>
                <w:lang w:eastAsia="nl-NL"/>
              </w:rPr>
            </w:pPr>
            <w:r w:rsidRPr="00CA2689">
              <w:rPr>
                <w:rFonts w:ascii="Verdana" w:eastAsia="Times New Roman" w:hAnsi="Verdana"/>
                <w:b/>
                <w:color w:val="FF0000"/>
                <w:sz w:val="18"/>
                <w:szCs w:val="18"/>
                <w:lang w:eastAsia="en-GB"/>
              </w:rPr>
              <w:t>Response:</w:t>
            </w:r>
            <w:r w:rsidRPr="00CA2689">
              <w:rPr>
                <w:rFonts w:ascii="Verdana" w:eastAsia="Times New Roman" w:hAnsi="Verdana"/>
                <w:color w:val="FF0000"/>
                <w:sz w:val="18"/>
                <w:szCs w:val="18"/>
                <w:lang w:eastAsia="en-GB"/>
              </w:rPr>
              <w:t xml:space="preserve"> </w:t>
            </w:r>
            <w:r w:rsidRPr="00CA2689">
              <w:rPr>
                <w:rFonts w:ascii="Calibri" w:eastAsia="Times New Roman" w:hAnsi="Calibri"/>
                <w:color w:val="FF0000"/>
                <w:szCs w:val="22"/>
                <w:lang w:eastAsia="nl-NL"/>
              </w:rPr>
              <w:t>Rapporteur reassignment for planned MAAs is still under discussion and will be communicated separately</w:t>
            </w:r>
            <w:r w:rsidR="00CA2689" w:rsidRPr="00CA2689">
              <w:rPr>
                <w:rFonts w:ascii="Calibri" w:eastAsia="Times New Roman" w:hAnsi="Calibri"/>
                <w:color w:val="FF0000"/>
                <w:szCs w:val="22"/>
                <w:lang w:eastAsia="nl-NL"/>
              </w:rPr>
              <w:t xml:space="preserve"> (see general notes / EMA slides). </w:t>
            </w:r>
            <w:r w:rsidR="00C96668" w:rsidRPr="00C96668">
              <w:rPr>
                <w:rFonts w:ascii="Calibri" w:eastAsia="Times New Roman" w:hAnsi="Calibri"/>
                <w:color w:val="FF0000"/>
                <w:szCs w:val="22"/>
                <w:lang w:eastAsia="nl-NL"/>
              </w:rPr>
              <w:t xml:space="preserve">Companies are informed end of </w:t>
            </w:r>
            <w:r w:rsidR="009470DF" w:rsidRPr="00C96668">
              <w:rPr>
                <w:rFonts w:ascii="Calibri" w:eastAsia="Times New Roman" w:hAnsi="Calibri"/>
                <w:color w:val="FF0000"/>
                <w:szCs w:val="22"/>
                <w:lang w:eastAsia="nl-NL"/>
              </w:rPr>
              <w:t>April;</w:t>
            </w:r>
            <w:r w:rsidR="00C96668" w:rsidRPr="00C96668">
              <w:rPr>
                <w:rFonts w:ascii="Calibri" w:eastAsia="Times New Roman" w:hAnsi="Calibri"/>
                <w:color w:val="FF0000"/>
                <w:szCs w:val="22"/>
                <w:lang w:eastAsia="nl-NL"/>
              </w:rPr>
              <w:t xml:space="preserve"> UK will remain responsible until 29 March 2019</w:t>
            </w:r>
            <w:r w:rsidR="00147925">
              <w:rPr>
                <w:rFonts w:ascii="Calibri" w:eastAsia="Times New Roman" w:hAnsi="Calibri"/>
                <w:color w:val="FF0000"/>
                <w:szCs w:val="22"/>
                <w:lang w:eastAsia="nl-NL"/>
              </w:rPr>
              <w:t>. There might be a possibility for the MAH to meet the future Rapporteur as part of the knowledge transfer (also to discuss</w:t>
            </w:r>
            <w:r w:rsidR="009470DF">
              <w:rPr>
                <w:rFonts w:ascii="Calibri" w:eastAsia="Times New Roman" w:hAnsi="Calibri"/>
                <w:color w:val="FF0000"/>
                <w:szCs w:val="22"/>
                <w:lang w:eastAsia="nl-NL"/>
              </w:rPr>
              <w:t xml:space="preserve"> forecast –planning of procedures).</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CP operational aspects</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Scientific advice</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66458D">
            <w:pPr>
              <w:pStyle w:val="ListParagraph"/>
              <w:numPr>
                <w:ilvl w:val="0"/>
                <w:numId w:val="19"/>
              </w:numPr>
              <w:rPr>
                <w:rFonts w:ascii="Verdana" w:eastAsia="Times New Roman" w:hAnsi="Verdana"/>
                <w:sz w:val="18"/>
                <w:szCs w:val="18"/>
                <w:lang w:eastAsia="en-GB"/>
              </w:rPr>
            </w:pPr>
            <w:r w:rsidRPr="0066458D">
              <w:rPr>
                <w:rFonts w:ascii="Verdana" w:eastAsia="Times New Roman" w:hAnsi="Verdana"/>
                <w:sz w:val="18"/>
                <w:szCs w:val="18"/>
                <w:lang w:eastAsia="en-GB"/>
              </w:rPr>
              <w:t>Can we get confirmation that UK scientific advices will still be recognized for future applications? For some products these advices have already been obtained, while applications are still to come in future.</w:t>
            </w:r>
          </w:p>
          <w:p w:rsidR="009F7839" w:rsidRPr="009F7839" w:rsidRDefault="009F7839" w:rsidP="009F7839">
            <w:pPr>
              <w:rPr>
                <w:rFonts w:ascii="Verdana" w:eastAsia="Times New Roman" w:hAnsi="Verdana"/>
                <w:sz w:val="18"/>
                <w:szCs w:val="18"/>
                <w:lang w:val="en-US"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Reminded that scientific advice is not binding. SA from UK can still be provided as supporting information</w:t>
            </w:r>
            <w:r w:rsidR="003C7423">
              <w:rPr>
                <w:rFonts w:ascii="Verdana" w:eastAsia="Times New Roman" w:hAnsi="Verdana"/>
                <w:color w:val="FF0000"/>
                <w:sz w:val="18"/>
                <w:szCs w:val="18"/>
                <w:lang w:eastAsia="en-GB"/>
              </w:rPr>
              <w:t xml:space="preserve"> as it is not prohibited to include non EU Scientific Advice in application</w:t>
            </w:r>
            <w:r>
              <w:rPr>
                <w:rFonts w:ascii="Verdana" w:eastAsia="Times New Roman" w:hAnsi="Verdana"/>
                <w:color w:val="FF0000"/>
                <w:sz w:val="18"/>
                <w:szCs w:val="18"/>
                <w:lang w:eastAsia="en-GB"/>
              </w:rPr>
              <w:t>.</w:t>
            </w:r>
          </w:p>
        </w:tc>
      </w:tr>
      <w:tr w:rsidR="00242800" w:rsidTr="009F7839">
        <w:trPr>
          <w:trHeight w:val="76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 xml:space="preserve">EFPIA, EBE, Vaccines Europe, AESGP, EUCOPE, EuropaBio, </w:t>
            </w:r>
            <w:r>
              <w:rPr>
                <w:rFonts w:ascii="Verdana" w:eastAsia="Times New Roman" w:hAnsi="Verdana"/>
                <w:sz w:val="18"/>
                <w:szCs w:val="18"/>
                <w:lang w:eastAsia="en-GB"/>
              </w:rPr>
              <w:lastRenderedPageBreak/>
              <w:t>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lastRenderedPageBreak/>
              <w:t>CP operational aspects</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B670EB">
              <w:rPr>
                <w:rFonts w:ascii="Verdana" w:eastAsia="Times New Roman" w:hAnsi="Verdana"/>
                <w:sz w:val="18"/>
                <w:szCs w:val="18"/>
                <w:lang w:eastAsia="en-GB"/>
              </w:rPr>
              <w:t>EMA meetings with individual companies</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66458D">
            <w:pPr>
              <w:pStyle w:val="ListParagraph"/>
              <w:numPr>
                <w:ilvl w:val="0"/>
                <w:numId w:val="19"/>
              </w:numPr>
              <w:rPr>
                <w:rFonts w:ascii="Verdana" w:eastAsia="Times New Roman" w:hAnsi="Verdana"/>
                <w:sz w:val="18"/>
                <w:szCs w:val="18"/>
                <w:lang w:eastAsia="en-GB"/>
              </w:rPr>
            </w:pPr>
            <w:r w:rsidRPr="0066458D">
              <w:rPr>
                <w:rFonts w:ascii="Verdana" w:eastAsia="Times New Roman" w:hAnsi="Verdana"/>
                <w:sz w:val="18"/>
                <w:szCs w:val="18"/>
                <w:lang w:eastAsia="en-GB"/>
              </w:rPr>
              <w:t xml:space="preserve">From EMA correspondence around their Brexit preparedness survey, it seemed that EMA intends for Brexit-related discussions with companies to be handled in the context of Business Pipeline meetings.  The need for </w:t>
            </w:r>
            <w:r w:rsidRPr="0066458D">
              <w:rPr>
                <w:rFonts w:ascii="Verdana" w:eastAsia="Times New Roman" w:hAnsi="Verdana"/>
                <w:sz w:val="18"/>
                <w:szCs w:val="18"/>
                <w:lang w:eastAsia="en-GB"/>
              </w:rPr>
              <w:lastRenderedPageBreak/>
              <w:t>- and EMA participation at – meetings to discuss companies’ Brexit plans should be prioritised and should be based on potential issues and questions identified by companies in respect of their products.</w:t>
            </w:r>
          </w:p>
          <w:p w:rsidR="009F7839" w:rsidRDefault="009F7839" w:rsidP="009F7839">
            <w:pPr>
              <w:rPr>
                <w:rFonts w:ascii="Verdana" w:eastAsia="Times New Roman" w:hAnsi="Verdana"/>
                <w:b/>
                <w:color w:val="FF0000"/>
                <w:sz w:val="18"/>
                <w:szCs w:val="18"/>
                <w:lang w:eastAsia="en-GB"/>
              </w:rPr>
            </w:pPr>
          </w:p>
          <w:p w:rsidR="009F7839" w:rsidRPr="009F7839" w:rsidRDefault="009F7839" w:rsidP="009F7839">
            <w:pPr>
              <w:rPr>
                <w:rFonts w:ascii="Verdana" w:eastAsia="Times New Roman" w:hAnsi="Verdana"/>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For product specific issues, contact the product manager.  For broader discussions, these will be organised through Pipeline meetings.  If none is schedules the company i</w:t>
            </w:r>
            <w:r w:rsidR="003021DB">
              <w:rPr>
                <w:rFonts w:ascii="Verdana" w:eastAsia="Times New Roman" w:hAnsi="Verdana"/>
                <w:color w:val="FF0000"/>
                <w:sz w:val="18"/>
                <w:szCs w:val="18"/>
                <w:lang w:eastAsia="en-GB"/>
              </w:rPr>
              <w:t>s requested to reach out with a specific request and what needs to be discussed.</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lastRenderedPageBreak/>
              <w:t>EFPIA, EBE, Vaccines Europe, AESGP, EUCOPE, EuropaBio, Medicines for Europe, EuropharmSMC</w:t>
            </w:r>
          </w:p>
        </w:tc>
        <w:tc>
          <w:tcPr>
            <w:tcW w:w="2185" w:type="dxa"/>
            <w:tcBorders>
              <w:top w:val="single" w:sz="4" w:space="0" w:color="auto"/>
              <w:left w:val="nil"/>
              <w:bottom w:val="single" w:sz="4" w:space="0" w:color="auto"/>
              <w:right w:val="single" w:sz="4" w:space="0" w:color="auto"/>
            </w:tcBorders>
            <w:shd w:val="clear" w:color="auto" w:fill="auto"/>
            <w:vAlign w:val="center"/>
          </w:tcPr>
          <w:p w:rsidR="00186342" w:rsidRPr="00F6066D" w:rsidRDefault="009848B0" w:rsidP="00F6066D">
            <w:pPr>
              <w:rPr>
                <w:rFonts w:ascii="Verdana" w:eastAsia="Times New Roman" w:hAnsi="Verdana"/>
                <w:sz w:val="18"/>
                <w:szCs w:val="18"/>
                <w:lang w:eastAsia="en-GB"/>
              </w:rPr>
            </w:pPr>
            <w:r w:rsidRPr="00147EDA">
              <w:rPr>
                <w:rFonts w:ascii="Verdana" w:eastAsia="Times New Roman" w:hAnsi="Verdana"/>
                <w:sz w:val="18"/>
                <w:szCs w:val="18"/>
                <w:lang w:eastAsia="en-GB"/>
              </w:rPr>
              <w:t>Pharmacovigilance</w:t>
            </w:r>
          </w:p>
        </w:tc>
        <w:tc>
          <w:tcPr>
            <w:tcW w:w="1843"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sidRPr="00147EDA">
              <w:rPr>
                <w:rFonts w:ascii="Verdana" w:eastAsia="Times New Roman" w:hAnsi="Verdana"/>
                <w:sz w:val="18"/>
                <w:szCs w:val="18"/>
                <w:lang w:eastAsia="en-GB"/>
              </w:rPr>
              <w:t>Deputy QPPV</w:t>
            </w:r>
          </w:p>
        </w:tc>
        <w:tc>
          <w:tcPr>
            <w:tcW w:w="1134" w:type="dxa"/>
            <w:tcBorders>
              <w:top w:val="single" w:sz="4" w:space="0" w:color="auto"/>
              <w:left w:val="nil"/>
              <w:bottom w:val="single" w:sz="4" w:space="0" w:color="auto"/>
              <w:right w:val="single" w:sz="4" w:space="0" w:color="auto"/>
            </w:tcBorders>
            <w:shd w:val="clear" w:color="auto" w:fill="auto"/>
            <w:vAlign w:val="center"/>
          </w:tcPr>
          <w:p w:rsidR="00186342"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13/03/17</w:t>
            </w:r>
          </w:p>
        </w:tc>
        <w:tc>
          <w:tcPr>
            <w:tcW w:w="7229" w:type="dxa"/>
            <w:tcBorders>
              <w:top w:val="single" w:sz="4" w:space="0" w:color="auto"/>
              <w:left w:val="nil"/>
              <w:bottom w:val="single" w:sz="4" w:space="0" w:color="auto"/>
              <w:right w:val="single" w:sz="4" w:space="0" w:color="auto"/>
            </w:tcBorders>
            <w:shd w:val="clear" w:color="auto" w:fill="auto"/>
          </w:tcPr>
          <w:p w:rsidR="00186342" w:rsidRDefault="009848B0" w:rsidP="00147EDA">
            <w:pPr>
              <w:pStyle w:val="ListParagraph"/>
              <w:numPr>
                <w:ilvl w:val="0"/>
                <w:numId w:val="19"/>
              </w:numPr>
              <w:rPr>
                <w:rFonts w:ascii="Verdana" w:eastAsia="Times New Roman" w:hAnsi="Verdana"/>
                <w:sz w:val="18"/>
                <w:szCs w:val="18"/>
                <w:lang w:eastAsia="en-GB"/>
              </w:rPr>
            </w:pPr>
            <w:r w:rsidRPr="00147EDA">
              <w:rPr>
                <w:rFonts w:ascii="Verdana" w:eastAsia="Times New Roman" w:hAnsi="Verdana"/>
                <w:sz w:val="18"/>
                <w:szCs w:val="18"/>
                <w:lang w:eastAsia="en-GB"/>
              </w:rPr>
              <w:t>In follow-up to recent discussions, could EMA/COM provide confirmation that there will be no change to back-up procedures to meet the QPPV’s legal obligations (deputy QPPV), once the UK has left the EU?</w:t>
            </w:r>
          </w:p>
          <w:p w:rsidR="003021DB" w:rsidRDefault="003021DB" w:rsidP="003021DB">
            <w:pPr>
              <w:textAlignment w:val="cente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sidRPr="003021DB">
              <w:rPr>
                <w:rFonts w:ascii="Verdana" w:eastAsia="Times New Roman" w:hAnsi="Verdana"/>
                <w:color w:val="FF0000"/>
                <w:sz w:val="18"/>
                <w:szCs w:val="18"/>
                <w:lang w:eastAsia="en-GB"/>
              </w:rPr>
              <w:t>deputy and back-up procedures should occur inside the EU. If transition period adopted uncertain if UK based QPPV still be recognized during that time - strongly encouraged to make change by 30 March 2019 but some uncertainty which needs follow up</w:t>
            </w:r>
            <w:r>
              <w:rPr>
                <w:rFonts w:ascii="Verdana" w:eastAsia="Times New Roman" w:hAnsi="Verdana"/>
                <w:color w:val="FF0000"/>
                <w:sz w:val="18"/>
                <w:szCs w:val="18"/>
                <w:lang w:eastAsia="en-GB"/>
              </w:rPr>
              <w:t>.</w:t>
            </w:r>
          </w:p>
          <w:p w:rsidR="003021DB" w:rsidRPr="003021DB" w:rsidRDefault="003021DB" w:rsidP="009470DF">
            <w:pPr>
              <w:textAlignment w:val="center"/>
              <w:rPr>
                <w:rFonts w:ascii="Verdana" w:eastAsia="Times New Roman" w:hAnsi="Verdana"/>
                <w:sz w:val="18"/>
                <w:szCs w:val="18"/>
                <w:lang w:val="en-US" w:eastAsia="en-GB"/>
              </w:rPr>
            </w:pP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D90200">
            <w:pPr>
              <w:rPr>
                <w:rFonts w:ascii="Verdana" w:eastAsia="Times New Roman" w:hAnsi="Verdana"/>
                <w:sz w:val="18"/>
                <w:szCs w:val="18"/>
                <w:lang w:eastAsia="en-GB"/>
              </w:rPr>
            </w:pPr>
            <w:r>
              <w:rPr>
                <w:rFonts w:ascii="Verdana" w:eastAsia="Times New Roman" w:hAnsi="Verdana"/>
                <w:sz w:val="18"/>
                <w:szCs w:val="18"/>
                <w:lang w:eastAsia="en-GB"/>
              </w:rPr>
              <w:t>Transitional period</w:t>
            </w:r>
          </w:p>
        </w:tc>
        <w:tc>
          <w:tcPr>
            <w:tcW w:w="1843"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Transitional period</w:t>
            </w:r>
          </w:p>
        </w:tc>
        <w:tc>
          <w:tcPr>
            <w:tcW w:w="1134"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D81559" w:rsidRDefault="009848B0" w:rsidP="001A6744">
            <w:pPr>
              <w:pStyle w:val="ListParagraph"/>
              <w:numPr>
                <w:ilvl w:val="0"/>
                <w:numId w:val="19"/>
              </w:numPr>
              <w:rPr>
                <w:rFonts w:ascii="Verdana" w:eastAsia="Times New Roman" w:hAnsi="Verdana"/>
                <w:sz w:val="18"/>
                <w:szCs w:val="18"/>
                <w:lang w:eastAsia="en-GB"/>
              </w:rPr>
            </w:pPr>
            <w:r w:rsidRPr="00F6066D">
              <w:rPr>
                <w:rFonts w:ascii="Verdana" w:eastAsia="Times New Roman" w:hAnsi="Verdana"/>
                <w:sz w:val="18"/>
                <w:szCs w:val="18"/>
                <w:lang w:eastAsia="en-GB"/>
              </w:rPr>
              <w:t>If the terms of the “European Commission Draft Withdrawal Agreement on the withdrawal of the United Kingdom of Great Britain and Northern Ireland from the European Union and the European Atomic Energy Community” were to remain as currently proposed by the European Union, can it be confirmed that during the transitional period, post March 2019, medicinal product can move from UK to the rest of Europe, and vice versa, under current conditions and regulations.</w:t>
            </w:r>
          </w:p>
          <w:p w:rsidR="003021DB" w:rsidRPr="009470DF" w:rsidRDefault="003021DB" w:rsidP="009470DF">
            <w:pPr>
              <w:textAlignment w:val="center"/>
              <w:rPr>
                <w:sz w:val="24"/>
                <w:szCs w:val="24"/>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Yes, if transition period is agreed as part of Withdrawal Agreement, this would also include clinical trials materials.</w:t>
            </w:r>
          </w:p>
        </w:tc>
      </w:tr>
      <w:tr w:rsidR="00242800" w:rsidTr="00D81559">
        <w:trPr>
          <w:trHeight w:val="76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Manufacturing</w:t>
            </w:r>
          </w:p>
        </w:tc>
        <w:tc>
          <w:tcPr>
            <w:tcW w:w="1843"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QP/Release</w:t>
            </w:r>
            <w:r>
              <w:rPr>
                <w:rFonts w:ascii="Verdana" w:eastAsia="Times New Roman" w:hAnsi="Verdana"/>
                <w:sz w:val="18"/>
                <w:szCs w:val="18"/>
                <w:lang w:eastAsia="en-GB"/>
              </w:rPr>
              <w:br/>
              <w:t>Transfer MAHs/Multi-packs</w:t>
            </w:r>
          </w:p>
        </w:tc>
        <w:tc>
          <w:tcPr>
            <w:tcW w:w="1134"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D81559" w:rsidRPr="00AC62F5" w:rsidRDefault="009848B0" w:rsidP="001A6744">
            <w:pPr>
              <w:pStyle w:val="ListParagraph"/>
              <w:numPr>
                <w:ilvl w:val="0"/>
                <w:numId w:val="19"/>
              </w:numPr>
              <w:rPr>
                <w:rFonts w:ascii="Verdana" w:eastAsia="Times New Roman" w:hAnsi="Verdana"/>
                <w:sz w:val="18"/>
                <w:szCs w:val="18"/>
                <w:lang w:eastAsia="en-GB"/>
              </w:rPr>
            </w:pPr>
            <w:r w:rsidRPr="00AC62F5">
              <w:rPr>
                <w:rFonts w:ascii="Verdana" w:eastAsia="Times New Roman" w:hAnsi="Verdana"/>
                <w:sz w:val="18"/>
                <w:szCs w:val="18"/>
                <w:lang w:eastAsia="en-GB"/>
              </w:rPr>
              <w:t>Ireland</w:t>
            </w:r>
            <w:r>
              <w:rPr>
                <w:rFonts w:ascii="Verdana" w:eastAsia="Times New Roman" w:hAnsi="Verdana"/>
                <w:sz w:val="18"/>
                <w:szCs w:val="18"/>
                <w:lang w:eastAsia="en-GB"/>
              </w:rPr>
              <w:t xml:space="preserve"> </w:t>
            </w:r>
            <w:r w:rsidRPr="00AC62F5">
              <w:rPr>
                <w:rFonts w:ascii="Verdana" w:eastAsia="Times New Roman" w:hAnsi="Verdana"/>
                <w:sz w:val="18"/>
                <w:szCs w:val="18"/>
                <w:lang w:eastAsia="en-GB"/>
              </w:rPr>
              <w:t xml:space="preserve">has many joint packs with the UK and if the legal entity address is in the UK, they will need to be transferred to an address in the EU 27. This is another variation with diverging regulations and associated implementation timelines which may be challenging to implement for small volume products such as niche products or older but medically necessary products. No doubt this kind of product will have to be withdrawn from the Irish market as plants have minimum order quantities and Irish only packs will be non-viable. </w:t>
            </w:r>
          </w:p>
          <w:p w:rsidR="00D81559" w:rsidRDefault="009848B0" w:rsidP="00AC62F5">
            <w:pPr>
              <w:pStyle w:val="ListParagraph"/>
              <w:ind w:left="360"/>
              <w:rPr>
                <w:rFonts w:ascii="Verdana" w:eastAsia="Times New Roman" w:hAnsi="Verdana"/>
                <w:sz w:val="18"/>
                <w:szCs w:val="18"/>
                <w:lang w:eastAsia="en-GB"/>
              </w:rPr>
            </w:pPr>
            <w:r w:rsidRPr="00AC62F5">
              <w:rPr>
                <w:rFonts w:ascii="Verdana" w:eastAsia="Times New Roman" w:hAnsi="Verdana"/>
                <w:sz w:val="18"/>
                <w:szCs w:val="18"/>
                <w:lang w:eastAsia="en-GB"/>
              </w:rPr>
              <w:t>If a product physically moves from the European mainland to Ireland by road through the UK there is concern that the product will need to be QP released again in Ireland.</w:t>
            </w:r>
            <w:r>
              <w:rPr>
                <w:rFonts w:ascii="Verdana" w:eastAsia="Times New Roman" w:hAnsi="Verdana"/>
                <w:sz w:val="18"/>
                <w:szCs w:val="18"/>
                <w:lang w:eastAsia="en-GB"/>
              </w:rPr>
              <w:t xml:space="preserve"> </w:t>
            </w:r>
            <w:r w:rsidRPr="00AC62F5">
              <w:rPr>
                <w:rFonts w:ascii="Verdana" w:eastAsia="Times New Roman" w:hAnsi="Verdana"/>
                <w:sz w:val="18"/>
                <w:szCs w:val="18"/>
                <w:lang w:eastAsia="en-GB"/>
              </w:rPr>
              <w:t>If products are in a sealed truck with shrink wrapped pallets, will products still require double QP release?</w:t>
            </w:r>
          </w:p>
          <w:p w:rsidR="003021DB" w:rsidRPr="009470DF" w:rsidRDefault="003021DB" w:rsidP="003021DB">
            <w:pPr>
              <w:textAlignment w:val="cente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Same rules will apply as to current 3</w:t>
            </w:r>
            <w:r>
              <w:rPr>
                <w:rFonts w:ascii="Verdana" w:eastAsia="Times New Roman" w:hAnsi="Verdana"/>
                <w:color w:val="FF0000"/>
                <w:sz w:val="18"/>
                <w:szCs w:val="18"/>
                <w:vertAlign w:val="superscript"/>
                <w:lang w:eastAsia="en-GB"/>
              </w:rPr>
              <w:t>rd</w:t>
            </w:r>
            <w:r>
              <w:rPr>
                <w:rFonts w:ascii="Verdana" w:eastAsia="Times New Roman" w:hAnsi="Verdana"/>
                <w:color w:val="FF0000"/>
                <w:sz w:val="18"/>
                <w:szCs w:val="18"/>
                <w:lang w:eastAsia="en-GB"/>
              </w:rPr>
              <w:t xml:space="preserve"> countries.</w:t>
            </w:r>
            <w:r w:rsidR="003C7423" w:rsidRPr="003C7423">
              <w:rPr>
                <w:rFonts w:ascii="Verdana" w:eastAsia="Times New Roman" w:hAnsi="Verdana"/>
                <w:color w:val="FF0000"/>
                <w:sz w:val="18"/>
                <w:szCs w:val="18"/>
                <w:lang w:eastAsia="en-GB"/>
              </w:rPr>
              <w:t xml:space="preserve"> If product transits via a 3rd country then customs rules will apply. In the above scenario products will be handled as goods that have transited through a third country.</w:t>
            </w:r>
          </w:p>
        </w:tc>
      </w:tr>
      <w:tr w:rsidR="00242800" w:rsidTr="00D81559">
        <w:trPr>
          <w:trHeight w:val="183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FMD/</w:t>
            </w:r>
            <w:r>
              <w:rPr>
                <w:rFonts w:ascii="Verdana" w:eastAsia="Times New Roman" w:hAnsi="Verdana"/>
                <w:sz w:val="18"/>
                <w:szCs w:val="18"/>
                <w:lang w:eastAsia="en-GB"/>
              </w:rPr>
              <w:br/>
              <w:t>Manufacturing</w:t>
            </w:r>
          </w:p>
        </w:tc>
        <w:tc>
          <w:tcPr>
            <w:tcW w:w="1843" w:type="dxa"/>
            <w:tcBorders>
              <w:top w:val="single" w:sz="4" w:space="0" w:color="auto"/>
              <w:left w:val="nil"/>
              <w:bottom w:val="single" w:sz="4" w:space="0" w:color="auto"/>
              <w:right w:val="single" w:sz="4" w:space="0" w:color="auto"/>
            </w:tcBorders>
            <w:shd w:val="clear" w:color="auto" w:fill="auto"/>
            <w:vAlign w:val="center"/>
          </w:tcPr>
          <w:p w:rsidR="00D81559" w:rsidRPr="00921478"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FMD/</w:t>
            </w:r>
            <w:r>
              <w:rPr>
                <w:rFonts w:ascii="Verdana" w:eastAsia="Times New Roman" w:hAnsi="Verdana"/>
                <w:sz w:val="18"/>
                <w:szCs w:val="18"/>
                <w:lang w:eastAsia="en-GB"/>
              </w:rPr>
              <w:br/>
              <w:t>Manufacturing/QP</w:t>
            </w:r>
          </w:p>
        </w:tc>
        <w:tc>
          <w:tcPr>
            <w:tcW w:w="1134"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6C3173">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D81559" w:rsidRPr="007A6EF9" w:rsidRDefault="009848B0" w:rsidP="001A6744">
            <w:pPr>
              <w:pStyle w:val="ListParagraph"/>
              <w:numPr>
                <w:ilvl w:val="0"/>
                <w:numId w:val="19"/>
              </w:numPr>
              <w:rPr>
                <w:rFonts w:ascii="Verdana" w:eastAsia="Times New Roman" w:hAnsi="Verdana"/>
                <w:sz w:val="18"/>
                <w:szCs w:val="18"/>
                <w:lang w:eastAsia="en-GB"/>
              </w:rPr>
            </w:pPr>
            <w:r w:rsidRPr="007A6EF9">
              <w:rPr>
                <w:rFonts w:ascii="Verdana" w:eastAsia="Times New Roman" w:hAnsi="Verdana"/>
                <w:sz w:val="18"/>
                <w:szCs w:val="18"/>
                <w:lang w:eastAsia="en-GB"/>
              </w:rPr>
              <w:t xml:space="preserve">Regarding </w:t>
            </w:r>
            <w:r w:rsidRPr="00921478">
              <w:rPr>
                <w:rFonts w:ascii="Verdana" w:eastAsia="Times New Roman" w:hAnsi="Verdana"/>
                <w:sz w:val="18"/>
                <w:szCs w:val="18"/>
                <w:lang w:eastAsia="en-GB"/>
              </w:rPr>
              <w:t>NMVO/EMVO</w:t>
            </w:r>
            <w:r w:rsidRPr="007A6EF9">
              <w:rPr>
                <w:rFonts w:ascii="Verdana" w:eastAsia="Times New Roman" w:hAnsi="Verdana"/>
                <w:sz w:val="18"/>
                <w:szCs w:val="18"/>
                <w:lang w:eastAsia="en-GB"/>
              </w:rPr>
              <w:t>, in the event of a "hard Brexit", assuming that any product brought into the European Union from the UK is an import:</w:t>
            </w:r>
          </w:p>
          <w:p w:rsidR="00D81559" w:rsidRPr="007A6EF9" w:rsidRDefault="009848B0" w:rsidP="007A6EF9">
            <w:pPr>
              <w:pStyle w:val="ListParagraph"/>
              <w:ind w:left="360"/>
              <w:rPr>
                <w:rFonts w:ascii="Verdana" w:eastAsia="Times New Roman" w:hAnsi="Verdana"/>
                <w:sz w:val="18"/>
                <w:szCs w:val="18"/>
                <w:lang w:eastAsia="en-GB"/>
              </w:rPr>
            </w:pPr>
            <w:r>
              <w:rPr>
                <w:rFonts w:ascii="Verdana" w:eastAsia="Times New Roman" w:hAnsi="Verdana"/>
                <w:sz w:val="18"/>
                <w:szCs w:val="18"/>
                <w:lang w:eastAsia="en-GB"/>
              </w:rPr>
              <w:t xml:space="preserve">a) </w:t>
            </w:r>
            <w:r w:rsidRPr="007A6EF9">
              <w:rPr>
                <w:rFonts w:ascii="Verdana" w:eastAsia="Times New Roman" w:hAnsi="Verdana"/>
                <w:sz w:val="18"/>
                <w:szCs w:val="18"/>
                <w:lang w:eastAsia="en-GB"/>
              </w:rPr>
              <w:t xml:space="preserve">Can the safety features be placed on the product by a manufacturing site in the UK? </w:t>
            </w:r>
          </w:p>
          <w:p w:rsidR="00D81559" w:rsidRPr="007A6EF9" w:rsidRDefault="009848B0" w:rsidP="007A6EF9">
            <w:pPr>
              <w:pStyle w:val="ListParagraph"/>
              <w:ind w:left="360"/>
              <w:rPr>
                <w:rFonts w:ascii="Verdana" w:eastAsia="Times New Roman" w:hAnsi="Verdana"/>
                <w:sz w:val="18"/>
                <w:szCs w:val="18"/>
                <w:lang w:eastAsia="en-GB"/>
              </w:rPr>
            </w:pPr>
            <w:r>
              <w:rPr>
                <w:rFonts w:ascii="Verdana" w:eastAsia="Times New Roman" w:hAnsi="Verdana"/>
                <w:sz w:val="18"/>
                <w:szCs w:val="18"/>
                <w:lang w:eastAsia="en-GB"/>
              </w:rPr>
              <w:t>b)</w:t>
            </w:r>
            <w:r w:rsidRPr="007A6EF9">
              <w:rPr>
                <w:rFonts w:ascii="Verdana" w:eastAsia="Times New Roman" w:hAnsi="Verdana"/>
                <w:sz w:val="18"/>
                <w:szCs w:val="18"/>
                <w:lang w:eastAsia="en-GB"/>
              </w:rPr>
              <w:t xml:space="preserve"> If yes, for the purposes of the Delegated Regulation, who is “the manufacturer placing the safety features” – the UK manufacturer or the importer?</w:t>
            </w:r>
          </w:p>
          <w:p w:rsidR="00D81559" w:rsidRPr="007A6EF9" w:rsidRDefault="009848B0" w:rsidP="007A6EF9">
            <w:pPr>
              <w:pStyle w:val="ListParagraph"/>
              <w:ind w:left="360"/>
              <w:rPr>
                <w:rFonts w:ascii="Verdana" w:eastAsia="Times New Roman" w:hAnsi="Verdana"/>
                <w:sz w:val="18"/>
                <w:szCs w:val="18"/>
                <w:lang w:eastAsia="en-GB"/>
              </w:rPr>
            </w:pPr>
            <w:r>
              <w:rPr>
                <w:rFonts w:ascii="Verdana" w:eastAsia="Times New Roman" w:hAnsi="Verdana"/>
                <w:sz w:val="18"/>
                <w:szCs w:val="18"/>
                <w:lang w:eastAsia="en-GB"/>
              </w:rPr>
              <w:t xml:space="preserve">c) </w:t>
            </w:r>
            <w:r w:rsidRPr="007A6EF9">
              <w:rPr>
                <w:rFonts w:ascii="Verdana" w:eastAsia="Times New Roman" w:hAnsi="Verdana"/>
                <w:sz w:val="18"/>
                <w:szCs w:val="18"/>
                <w:lang w:eastAsia="en-GB"/>
              </w:rPr>
              <w:t>What tasks (not responsibilities) would the EU QP be able to delegate to the UK manufacturer under the cover of appropriate technical agreements, and what tasks would he/she be expected to ensure that are performed by the importer?</w:t>
            </w:r>
          </w:p>
          <w:p w:rsidR="00D81559" w:rsidRDefault="009848B0" w:rsidP="007A6EF9">
            <w:pPr>
              <w:pStyle w:val="ListParagraph"/>
              <w:ind w:left="360"/>
              <w:rPr>
                <w:rFonts w:ascii="Verdana" w:eastAsia="Times New Roman" w:hAnsi="Verdana"/>
                <w:sz w:val="18"/>
                <w:szCs w:val="18"/>
                <w:lang w:eastAsia="en-GB"/>
              </w:rPr>
            </w:pPr>
            <w:r>
              <w:rPr>
                <w:rFonts w:ascii="Verdana" w:eastAsia="Times New Roman" w:hAnsi="Verdana"/>
                <w:sz w:val="18"/>
                <w:szCs w:val="18"/>
                <w:lang w:eastAsia="en-GB"/>
              </w:rPr>
              <w:t xml:space="preserve">d) </w:t>
            </w:r>
            <w:r w:rsidRPr="007A6EF9">
              <w:rPr>
                <w:rFonts w:ascii="Verdana" w:eastAsia="Times New Roman" w:hAnsi="Verdana"/>
                <w:sz w:val="18"/>
                <w:szCs w:val="18"/>
                <w:lang w:eastAsia="en-GB"/>
              </w:rPr>
              <w:t>In the presence of appropriate agreements, could the UK manufacturer upload the data to the repositories system, provided this is done before the importer’s QP releases the product for sale?</w:t>
            </w:r>
          </w:p>
          <w:p w:rsidR="003021DB" w:rsidRDefault="003021DB" w:rsidP="003021DB">
            <w:pP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p>
          <w:p w:rsidR="003021DB" w:rsidRDefault="003021DB" w:rsidP="003021DB">
            <w:pPr>
              <w:pStyle w:val="ListParagraph"/>
              <w:numPr>
                <w:ilvl w:val="0"/>
                <w:numId w:val="26"/>
              </w:numPr>
              <w:rPr>
                <w:rFonts w:ascii="Verdana" w:eastAsia="Times New Roman" w:hAnsi="Verdana"/>
                <w:color w:val="FF0000"/>
                <w:sz w:val="18"/>
                <w:szCs w:val="18"/>
                <w:lang w:eastAsia="en-GB"/>
              </w:rPr>
            </w:pPr>
            <w:r w:rsidRPr="003021DB">
              <w:rPr>
                <w:rFonts w:ascii="Verdana" w:eastAsia="Times New Roman" w:hAnsi="Verdana"/>
                <w:color w:val="FF0000"/>
                <w:sz w:val="18"/>
                <w:szCs w:val="18"/>
                <w:lang w:eastAsia="en-GB"/>
              </w:rPr>
              <w:t>There is nothing to stop UK site applying safety features.</w:t>
            </w:r>
          </w:p>
          <w:p w:rsidR="003021DB" w:rsidRDefault="003021DB" w:rsidP="003021DB">
            <w:pPr>
              <w:pStyle w:val="ListParagraph"/>
              <w:numPr>
                <w:ilvl w:val="0"/>
                <w:numId w:val="26"/>
              </w:numPr>
              <w:rPr>
                <w:rFonts w:ascii="Verdana" w:eastAsia="Times New Roman" w:hAnsi="Verdana"/>
                <w:color w:val="FF0000"/>
                <w:sz w:val="18"/>
                <w:szCs w:val="18"/>
                <w:lang w:eastAsia="en-GB"/>
              </w:rPr>
            </w:pPr>
            <w:r>
              <w:rPr>
                <w:rFonts w:ascii="Verdana" w:eastAsia="Times New Roman" w:hAnsi="Verdana"/>
                <w:color w:val="FF0000"/>
                <w:sz w:val="18"/>
                <w:szCs w:val="18"/>
                <w:lang w:eastAsia="en-GB"/>
              </w:rPr>
              <w:t>As per the FMD Reg, the manufacturer placing the safety features is the manufacturer.  If this is done in a3rd country, importer must ensure compliance</w:t>
            </w:r>
            <w:r w:rsidR="00C96668">
              <w:rPr>
                <w:rFonts w:ascii="Verdana" w:eastAsia="Times New Roman" w:hAnsi="Verdana"/>
                <w:color w:val="FF0000"/>
                <w:sz w:val="18"/>
                <w:szCs w:val="18"/>
                <w:lang w:eastAsia="en-GB"/>
              </w:rPr>
              <w:t>, similar to manufacturing in other 3</w:t>
            </w:r>
            <w:r w:rsidR="00C96668" w:rsidRPr="00C96668">
              <w:rPr>
                <w:rFonts w:ascii="Verdana" w:eastAsia="Times New Roman" w:hAnsi="Verdana"/>
                <w:color w:val="FF0000"/>
                <w:sz w:val="18"/>
                <w:szCs w:val="18"/>
                <w:vertAlign w:val="superscript"/>
                <w:lang w:eastAsia="en-GB"/>
              </w:rPr>
              <w:t>rd</w:t>
            </w:r>
            <w:r w:rsidR="00C96668">
              <w:rPr>
                <w:rFonts w:ascii="Verdana" w:eastAsia="Times New Roman" w:hAnsi="Verdana"/>
                <w:color w:val="FF0000"/>
                <w:sz w:val="18"/>
                <w:szCs w:val="18"/>
                <w:lang w:eastAsia="en-GB"/>
              </w:rPr>
              <w:t xml:space="preserve"> countries</w:t>
            </w:r>
            <w:r>
              <w:rPr>
                <w:rFonts w:ascii="Verdana" w:eastAsia="Times New Roman" w:hAnsi="Verdana"/>
                <w:color w:val="FF0000"/>
                <w:sz w:val="18"/>
                <w:szCs w:val="18"/>
                <w:lang w:eastAsia="en-GB"/>
              </w:rPr>
              <w:t>.</w:t>
            </w:r>
          </w:p>
          <w:p w:rsidR="003021DB" w:rsidRDefault="003021DB" w:rsidP="003021DB">
            <w:pPr>
              <w:pStyle w:val="ListParagraph"/>
              <w:numPr>
                <w:ilvl w:val="0"/>
                <w:numId w:val="26"/>
              </w:numPr>
              <w:rPr>
                <w:rFonts w:ascii="Verdana" w:eastAsia="Times New Roman" w:hAnsi="Verdana"/>
                <w:color w:val="FF0000"/>
                <w:sz w:val="18"/>
                <w:szCs w:val="18"/>
                <w:lang w:eastAsia="en-GB"/>
              </w:rPr>
            </w:pPr>
            <w:r>
              <w:rPr>
                <w:rFonts w:ascii="Verdana" w:eastAsia="Times New Roman" w:hAnsi="Verdana"/>
                <w:color w:val="FF0000"/>
                <w:sz w:val="18"/>
                <w:szCs w:val="18"/>
                <w:lang w:eastAsia="en-GB"/>
              </w:rPr>
              <w:t>QP to ensure that safety features are implemented. They can delegate their task to trained personal (fall under GMP chapter 7).</w:t>
            </w:r>
          </w:p>
          <w:p w:rsidR="003021DB" w:rsidRPr="003021DB" w:rsidRDefault="003021DB" w:rsidP="003021DB">
            <w:pPr>
              <w:pStyle w:val="ListParagraph"/>
              <w:numPr>
                <w:ilvl w:val="0"/>
                <w:numId w:val="26"/>
              </w:numPr>
              <w:rPr>
                <w:rFonts w:ascii="Verdana" w:eastAsia="Times New Roman" w:hAnsi="Verdana"/>
                <w:color w:val="FF0000"/>
                <w:sz w:val="18"/>
                <w:szCs w:val="18"/>
                <w:lang w:eastAsia="en-GB"/>
              </w:rPr>
            </w:pPr>
            <w:r>
              <w:rPr>
                <w:rFonts w:ascii="Verdana" w:eastAsia="Times New Roman" w:hAnsi="Verdana"/>
                <w:color w:val="FF0000"/>
                <w:sz w:val="18"/>
                <w:szCs w:val="18"/>
                <w:lang w:eastAsia="en-GB"/>
              </w:rPr>
              <w:t>MAH is responsible for ensuring data upload, but can delegate the task to someone else.  UK will be treated as any other 3</w:t>
            </w:r>
            <w:r>
              <w:rPr>
                <w:rFonts w:ascii="Verdana" w:eastAsia="Times New Roman" w:hAnsi="Verdana"/>
                <w:color w:val="FF0000"/>
                <w:sz w:val="18"/>
                <w:szCs w:val="18"/>
                <w:vertAlign w:val="superscript"/>
                <w:lang w:eastAsia="en-GB"/>
              </w:rPr>
              <w:t>rd</w:t>
            </w:r>
            <w:r>
              <w:rPr>
                <w:rFonts w:ascii="Verdana" w:eastAsia="Times New Roman" w:hAnsi="Verdana"/>
                <w:color w:val="FF0000"/>
                <w:sz w:val="18"/>
                <w:szCs w:val="18"/>
                <w:lang w:eastAsia="en-GB"/>
              </w:rPr>
              <w:t xml:space="preserve"> country.</w:t>
            </w:r>
          </w:p>
        </w:tc>
      </w:tr>
      <w:tr w:rsidR="00242800" w:rsidTr="009470DF">
        <w:trPr>
          <w:trHeight w:val="1063"/>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D81559" w:rsidP="00F6066D">
            <w:pPr>
              <w:rPr>
                <w:rFonts w:ascii="Verdana" w:eastAsia="Times New Roman" w:hAnsi="Verdana"/>
                <w:sz w:val="18"/>
                <w:szCs w:val="18"/>
                <w:lang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66BA" w:rsidRPr="000A66BA" w:rsidRDefault="009848B0" w:rsidP="000A66BA">
            <w:pPr>
              <w:rPr>
                <w:rFonts w:ascii="Verdana" w:eastAsia="Times New Roman" w:hAnsi="Verdana"/>
                <w:sz w:val="18"/>
                <w:szCs w:val="18"/>
                <w:lang w:eastAsia="en-GB"/>
              </w:rPr>
            </w:pPr>
            <w:r w:rsidRPr="000A66BA">
              <w:rPr>
                <w:rFonts w:ascii="Verdana" w:eastAsia="Times New Roman" w:hAnsi="Verdana"/>
                <w:sz w:val="18"/>
                <w:szCs w:val="18"/>
                <w:lang w:eastAsia="en-GB"/>
              </w:rPr>
              <w:t>QP release of Clinical trials materials</w:t>
            </w:r>
          </w:p>
          <w:p w:rsidR="000A66BA" w:rsidRPr="000A66BA" w:rsidRDefault="000A66BA" w:rsidP="000A66BA">
            <w:pPr>
              <w:rPr>
                <w:rFonts w:ascii="Verdana" w:eastAsia="Times New Roman" w:hAnsi="Verdana"/>
                <w:sz w:val="18"/>
                <w:szCs w:val="18"/>
                <w:lang w:eastAsia="en-GB"/>
              </w:rPr>
            </w:pPr>
          </w:p>
          <w:p w:rsidR="00D81559" w:rsidRPr="00F6066D" w:rsidRDefault="009848B0" w:rsidP="000A66BA">
            <w:pPr>
              <w:rPr>
                <w:rFonts w:ascii="Verdana" w:eastAsia="Times New Roman" w:hAnsi="Verdana"/>
                <w:sz w:val="18"/>
                <w:szCs w:val="18"/>
                <w:lang w:eastAsia="en-GB"/>
              </w:rPr>
            </w:pPr>
            <w:r w:rsidRPr="000A66BA">
              <w:rPr>
                <w:rFonts w:ascii="Verdana" w:eastAsia="Times New Roman" w:hAnsi="Verdana"/>
                <w:sz w:val="18"/>
                <w:szCs w:val="18"/>
                <w:lang w:eastAsia="en-GB"/>
              </w:rPr>
              <w:t>Eudravigilance Access</w:t>
            </w:r>
          </w:p>
        </w:tc>
        <w:tc>
          <w:tcPr>
            <w:tcW w:w="1134"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7144CD">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D81559" w:rsidRPr="005B6D4E" w:rsidRDefault="009848B0" w:rsidP="001A6744">
            <w:pPr>
              <w:pStyle w:val="ListParagraph"/>
              <w:numPr>
                <w:ilvl w:val="0"/>
                <w:numId w:val="19"/>
              </w:numPr>
              <w:rPr>
                <w:rFonts w:ascii="Verdana" w:eastAsia="Times New Roman" w:hAnsi="Verdana"/>
                <w:sz w:val="18"/>
                <w:szCs w:val="18"/>
                <w:lang w:eastAsia="en-GB"/>
              </w:rPr>
            </w:pPr>
            <w:r>
              <w:rPr>
                <w:rFonts w:ascii="Verdana" w:eastAsia="Times New Roman" w:hAnsi="Verdana"/>
                <w:sz w:val="18"/>
                <w:szCs w:val="18"/>
                <w:lang w:eastAsia="en-GB"/>
              </w:rPr>
              <w:t xml:space="preserve">a) </w:t>
            </w:r>
            <w:r w:rsidRPr="005B6D4E">
              <w:rPr>
                <w:rFonts w:ascii="Verdana" w:eastAsia="Times New Roman" w:hAnsi="Verdana"/>
                <w:sz w:val="18"/>
                <w:szCs w:val="18"/>
                <w:lang w:eastAsia="en-GB"/>
              </w:rPr>
              <w:t>There is a large number of Europe-wide ongoing trials in the UK. Past experience has shown that batch release of trial materials exported to third countries from the UK is delayed by paper work. Is it considered that there are enough Qualified Persons in Europe to cover the extra release work which will be involved?</w:t>
            </w:r>
          </w:p>
          <w:p w:rsidR="003021DB" w:rsidRDefault="009848B0" w:rsidP="003021DB">
            <w:pPr>
              <w:ind w:left="360"/>
              <w:rPr>
                <w:rFonts w:ascii="Verdana" w:eastAsia="Times New Roman" w:hAnsi="Verdana"/>
                <w:sz w:val="18"/>
                <w:szCs w:val="18"/>
                <w:lang w:eastAsia="en-GB"/>
              </w:rPr>
            </w:pPr>
            <w:r>
              <w:rPr>
                <w:rFonts w:ascii="Verdana" w:eastAsia="Times New Roman" w:hAnsi="Verdana"/>
                <w:sz w:val="18"/>
                <w:szCs w:val="18"/>
                <w:lang w:eastAsia="en-GB"/>
              </w:rPr>
              <w:t xml:space="preserve">b) </w:t>
            </w:r>
            <w:r w:rsidRPr="005B6D4E">
              <w:rPr>
                <w:rFonts w:ascii="Verdana" w:eastAsia="Times New Roman" w:hAnsi="Verdana"/>
                <w:sz w:val="18"/>
                <w:szCs w:val="18"/>
                <w:lang w:eastAsia="en-GB"/>
              </w:rPr>
              <w:t>Please clarify whether there will be access for the UK to the EudraVigilance data base following a "hard Brexit"</w:t>
            </w:r>
          </w:p>
          <w:p w:rsidR="003021DB" w:rsidRDefault="003021DB" w:rsidP="003021DB">
            <w:pPr>
              <w:rPr>
                <w:rFonts w:ascii="Verdana" w:eastAsia="Times New Roman" w:hAnsi="Verdana"/>
                <w:b/>
                <w:color w:val="FF0000"/>
                <w:sz w:val="18"/>
                <w:szCs w:val="18"/>
                <w:lang w:eastAsia="en-GB"/>
              </w:rPr>
            </w:pPr>
          </w:p>
          <w:p w:rsidR="003021DB" w:rsidRDefault="003021DB" w:rsidP="003021DB">
            <w:pP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p>
          <w:p w:rsidR="003021DB" w:rsidRDefault="003021DB" w:rsidP="003C7423">
            <w:pPr>
              <w:pStyle w:val="ListParagraph"/>
              <w:numPr>
                <w:ilvl w:val="0"/>
                <w:numId w:val="27"/>
              </w:numPr>
              <w:rPr>
                <w:rFonts w:ascii="Verdana" w:eastAsia="Times New Roman" w:hAnsi="Verdana"/>
                <w:color w:val="FF0000"/>
                <w:sz w:val="18"/>
                <w:szCs w:val="18"/>
                <w:lang w:eastAsia="en-GB"/>
              </w:rPr>
            </w:pPr>
            <w:r>
              <w:rPr>
                <w:rFonts w:ascii="Verdana" w:eastAsia="Times New Roman" w:hAnsi="Verdana"/>
                <w:color w:val="FF0000"/>
                <w:sz w:val="18"/>
                <w:szCs w:val="18"/>
                <w:lang w:eastAsia="en-GB"/>
              </w:rPr>
              <w:t>Not within remit of EMA to answer</w:t>
            </w:r>
            <w:r w:rsidR="00C96668">
              <w:rPr>
                <w:rFonts w:ascii="Verdana" w:eastAsia="Times New Roman" w:hAnsi="Verdana"/>
                <w:color w:val="FF0000"/>
                <w:sz w:val="18"/>
                <w:szCs w:val="18"/>
                <w:lang w:eastAsia="en-GB"/>
              </w:rPr>
              <w:t>. QP release has to be done in EU</w:t>
            </w:r>
            <w:r w:rsidR="003C7423">
              <w:rPr>
                <w:rFonts w:ascii="Verdana" w:eastAsia="Times New Roman" w:hAnsi="Verdana"/>
                <w:color w:val="FF0000"/>
                <w:sz w:val="18"/>
                <w:szCs w:val="18"/>
                <w:lang w:eastAsia="en-GB"/>
              </w:rPr>
              <w:t xml:space="preserve">. </w:t>
            </w:r>
            <w:r w:rsidR="003C7423" w:rsidRPr="003C7423">
              <w:rPr>
                <w:rFonts w:ascii="Verdana" w:eastAsia="Times New Roman" w:hAnsi="Verdana"/>
                <w:color w:val="FF0000"/>
                <w:sz w:val="18"/>
                <w:szCs w:val="18"/>
                <w:lang w:eastAsia="en-GB"/>
              </w:rPr>
              <w:lastRenderedPageBreak/>
              <w:t>Regarding export of IMPS from UK to EU no retest is required but need batch release including GMP</w:t>
            </w:r>
            <w:r w:rsidR="009470DF">
              <w:rPr>
                <w:rFonts w:ascii="Verdana" w:eastAsia="Times New Roman" w:hAnsi="Verdana"/>
                <w:color w:val="FF0000"/>
                <w:sz w:val="18"/>
                <w:szCs w:val="18"/>
                <w:lang w:eastAsia="en-GB"/>
              </w:rPr>
              <w:t>.</w:t>
            </w:r>
          </w:p>
          <w:p w:rsidR="003021DB" w:rsidRPr="009470DF" w:rsidRDefault="003021DB" w:rsidP="003021DB">
            <w:pPr>
              <w:pStyle w:val="ListParagraph"/>
              <w:numPr>
                <w:ilvl w:val="0"/>
                <w:numId w:val="27"/>
              </w:numPr>
              <w:rPr>
                <w:rFonts w:ascii="Verdana" w:eastAsia="Times New Roman" w:hAnsi="Verdana"/>
                <w:color w:val="FF0000"/>
                <w:sz w:val="18"/>
                <w:szCs w:val="18"/>
                <w:lang w:eastAsia="en-GB"/>
              </w:rPr>
            </w:pPr>
            <w:r w:rsidRPr="003021DB">
              <w:rPr>
                <w:rFonts w:ascii="Verdana" w:eastAsia="Times New Roman" w:hAnsi="Verdana"/>
                <w:color w:val="FF0000"/>
                <w:sz w:val="18"/>
                <w:szCs w:val="18"/>
                <w:lang w:eastAsia="en-GB"/>
              </w:rPr>
              <w:t>Art.7 of Withdrawal Agreement says that UK will cease to have access to EU databases. UK ADRs will still need to be submitted to Eudravigilance during the transition period although MHRA will not have access.</w:t>
            </w:r>
          </w:p>
        </w:tc>
      </w:tr>
      <w:tr w:rsidR="00242800" w:rsidTr="00D81559">
        <w:trPr>
          <w:trHeight w:val="2114"/>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lastRenderedPageBreak/>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0A66BA">
              <w:rPr>
                <w:rFonts w:ascii="Verdana" w:eastAsia="Times New Roman" w:hAnsi="Verdana"/>
                <w:sz w:val="18"/>
                <w:szCs w:val="18"/>
                <w:lang w:eastAsia="en-GB"/>
              </w:rPr>
              <w:t>Manufacturing</w:t>
            </w:r>
          </w:p>
        </w:tc>
        <w:tc>
          <w:tcPr>
            <w:tcW w:w="1843"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 xml:space="preserve">Published </w:t>
            </w:r>
            <w:hyperlink r:id="rId9" w:history="1">
              <w:r w:rsidRPr="00673BF2">
                <w:rPr>
                  <w:rStyle w:val="Hyperlink"/>
                  <w:rFonts w:ascii="Verdana" w:eastAsia="Times New Roman" w:hAnsi="Verdana"/>
                  <w:sz w:val="18"/>
                  <w:szCs w:val="18"/>
                  <w:lang w:eastAsia="en-GB"/>
                </w:rPr>
                <w:t>EMA Practical guidance document</w:t>
              </w:r>
              <w:r>
                <w:rPr>
                  <w:rStyle w:val="Hyperlink"/>
                  <w:rFonts w:ascii="Verdana" w:eastAsia="Times New Roman" w:hAnsi="Verdana"/>
                  <w:sz w:val="18"/>
                  <w:szCs w:val="18"/>
                  <w:lang w:eastAsia="en-GB"/>
                </w:rPr>
                <w:t>, December 2017</w:t>
              </w:r>
              <w:r w:rsidRPr="00673BF2">
                <w:rPr>
                  <w:rStyle w:val="Hyperlink"/>
                  <w:rFonts w:ascii="Verdana" w:eastAsia="Times New Roman" w:hAnsi="Verdana"/>
                  <w:sz w:val="18"/>
                  <w:szCs w:val="18"/>
                  <w:lang w:eastAsia="en-GB"/>
                </w:rPr>
                <w:t xml:space="preserve"> </w:t>
              </w:r>
            </w:hyperlink>
            <w:r w:rsidRPr="005116D2">
              <w:rPr>
                <w:rFonts w:ascii="Verdana" w:eastAsia="Times New Roman" w:hAnsi="Verdana"/>
                <w:sz w:val="18"/>
                <w:szCs w:val="18"/>
                <w:lang w:eastAsia="en-GB"/>
              </w:rPr>
              <w:t xml:space="preserve"> </w:t>
            </w:r>
            <w:r>
              <w:rPr>
                <w:rFonts w:ascii="Verdana" w:eastAsia="Times New Roman" w:hAnsi="Verdana"/>
                <w:sz w:val="18"/>
                <w:szCs w:val="18"/>
                <w:lang w:eastAsia="en-GB"/>
              </w:rPr>
              <w:t>[Q2]</w:t>
            </w:r>
          </w:p>
        </w:tc>
        <w:tc>
          <w:tcPr>
            <w:tcW w:w="1134" w:type="dxa"/>
            <w:tcBorders>
              <w:top w:val="single" w:sz="4" w:space="0" w:color="auto"/>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D81559" w:rsidRPr="005116D2" w:rsidRDefault="009848B0" w:rsidP="001A6744">
            <w:pPr>
              <w:pStyle w:val="ListParagraph"/>
              <w:numPr>
                <w:ilvl w:val="0"/>
                <w:numId w:val="19"/>
              </w:numPr>
              <w:rPr>
                <w:rFonts w:ascii="Verdana" w:eastAsia="Times New Roman" w:hAnsi="Verdana"/>
                <w:sz w:val="18"/>
                <w:szCs w:val="18"/>
                <w:lang w:eastAsia="en-GB"/>
              </w:rPr>
            </w:pPr>
            <w:r w:rsidRPr="005116D2">
              <w:rPr>
                <w:rFonts w:ascii="Verdana" w:eastAsia="Times New Roman" w:hAnsi="Verdana"/>
                <w:sz w:val="18"/>
                <w:szCs w:val="18"/>
                <w:lang w:eastAsia="en-GB"/>
              </w:rPr>
              <w:t>Q2 - "Products that only have batch release and quality control testing sites for finished product in the UK will have to change the batch release and testing sites. For products that have other batch release and testing sites the MAH may choose to delete the site(s) or may choose to replace them. For finished products manufactured in the UK an importation site (in EEA) will need to be introduced."</w:t>
            </w:r>
          </w:p>
          <w:p w:rsidR="00D81559" w:rsidRDefault="009848B0" w:rsidP="005116D2">
            <w:pPr>
              <w:pStyle w:val="ListParagraph"/>
              <w:ind w:left="360"/>
              <w:rPr>
                <w:rFonts w:ascii="Verdana" w:eastAsia="Times New Roman" w:hAnsi="Verdana"/>
                <w:sz w:val="18"/>
                <w:szCs w:val="18"/>
                <w:lang w:eastAsia="en-GB"/>
              </w:rPr>
            </w:pPr>
            <w:r w:rsidRPr="005116D2">
              <w:rPr>
                <w:rFonts w:ascii="Verdana" w:eastAsia="Times New Roman" w:hAnsi="Verdana"/>
                <w:sz w:val="18"/>
                <w:szCs w:val="18"/>
                <w:lang w:eastAsia="en-GB"/>
              </w:rPr>
              <w:t>Does this mean that there would be an expectation for provisional release in the UK before shipment, followed by QP release at an EEA site? If provisional release is required, can we assume that would still be via a QP in the UK. Can this be confirmed please?</w:t>
            </w:r>
          </w:p>
          <w:p w:rsidR="003021DB" w:rsidRDefault="003021DB" w:rsidP="003021DB">
            <w:pPr>
              <w:textAlignment w:val="cente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please refer to Q&amp;A. If companies have specific issues, they should discuss with EMA.</w:t>
            </w:r>
          </w:p>
          <w:p w:rsidR="003021DB" w:rsidRPr="003021DB" w:rsidRDefault="003021DB" w:rsidP="003021DB">
            <w:pPr>
              <w:rPr>
                <w:rFonts w:ascii="Verdana" w:eastAsia="Times New Roman" w:hAnsi="Verdana"/>
                <w:sz w:val="18"/>
                <w:szCs w:val="18"/>
                <w:lang w:eastAsia="en-GB"/>
              </w:rPr>
            </w:pPr>
          </w:p>
        </w:tc>
      </w:tr>
      <w:tr w:rsidR="00242800" w:rsidTr="000A66BA">
        <w:trPr>
          <w:trHeight w:val="118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nil"/>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sidRPr="000A66BA">
              <w:rPr>
                <w:rFonts w:ascii="Verdana" w:eastAsia="Times New Roman" w:hAnsi="Verdana"/>
                <w:sz w:val="18"/>
                <w:szCs w:val="18"/>
                <w:lang w:eastAsia="en-GB"/>
              </w:rPr>
              <w:t>Manufacturing</w:t>
            </w:r>
          </w:p>
        </w:tc>
        <w:tc>
          <w:tcPr>
            <w:tcW w:w="1843" w:type="dxa"/>
            <w:tcBorders>
              <w:top w:val="nil"/>
              <w:left w:val="nil"/>
              <w:bottom w:val="single" w:sz="4" w:space="0" w:color="auto"/>
              <w:right w:val="single" w:sz="4" w:space="0" w:color="auto"/>
            </w:tcBorders>
            <w:shd w:val="clear" w:color="auto" w:fill="auto"/>
            <w:vAlign w:val="center"/>
          </w:tcPr>
          <w:p w:rsidR="00D81559" w:rsidRPr="00F6066D"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 xml:space="preserve">Published </w:t>
            </w:r>
            <w:hyperlink r:id="rId10" w:history="1">
              <w:r w:rsidRPr="00673BF2">
                <w:rPr>
                  <w:rStyle w:val="Hyperlink"/>
                  <w:rFonts w:ascii="Verdana" w:eastAsia="Times New Roman" w:hAnsi="Verdana"/>
                  <w:sz w:val="18"/>
                  <w:szCs w:val="18"/>
                  <w:lang w:eastAsia="en-GB"/>
                </w:rPr>
                <w:t>EMA Practical guidance document</w:t>
              </w:r>
              <w:r>
                <w:rPr>
                  <w:rStyle w:val="Hyperlink"/>
                  <w:rFonts w:ascii="Verdana" w:eastAsia="Times New Roman" w:hAnsi="Verdana"/>
                  <w:sz w:val="18"/>
                  <w:szCs w:val="18"/>
                  <w:lang w:eastAsia="en-GB"/>
                </w:rPr>
                <w:t>, December 2017</w:t>
              </w:r>
              <w:r w:rsidRPr="00673BF2">
                <w:rPr>
                  <w:rStyle w:val="Hyperlink"/>
                  <w:rFonts w:ascii="Verdana" w:eastAsia="Times New Roman" w:hAnsi="Verdana"/>
                  <w:sz w:val="18"/>
                  <w:szCs w:val="18"/>
                  <w:lang w:eastAsia="en-GB"/>
                </w:rPr>
                <w:t xml:space="preserve"> </w:t>
              </w:r>
            </w:hyperlink>
            <w:r w:rsidRPr="005116D2">
              <w:rPr>
                <w:rFonts w:ascii="Verdana" w:eastAsia="Times New Roman" w:hAnsi="Verdana"/>
                <w:sz w:val="18"/>
                <w:szCs w:val="18"/>
                <w:lang w:eastAsia="en-GB"/>
              </w:rPr>
              <w:t xml:space="preserve"> </w:t>
            </w:r>
            <w:r>
              <w:rPr>
                <w:rFonts w:ascii="Verdana" w:eastAsia="Times New Roman" w:hAnsi="Verdana"/>
                <w:sz w:val="18"/>
                <w:szCs w:val="18"/>
                <w:lang w:eastAsia="en-GB"/>
              </w:rPr>
              <w:t>[Q2]</w:t>
            </w:r>
          </w:p>
        </w:tc>
        <w:tc>
          <w:tcPr>
            <w:tcW w:w="1134" w:type="dxa"/>
            <w:tcBorders>
              <w:top w:val="nil"/>
              <w:left w:val="nil"/>
              <w:bottom w:val="single" w:sz="4" w:space="0" w:color="auto"/>
              <w:right w:val="single" w:sz="4" w:space="0" w:color="auto"/>
            </w:tcBorders>
            <w:shd w:val="clear" w:color="auto" w:fill="auto"/>
            <w:vAlign w:val="center"/>
          </w:tcPr>
          <w:p w:rsidR="00D81559" w:rsidRPr="00F6066D" w:rsidRDefault="009848B0" w:rsidP="002E392E">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nil"/>
              <w:left w:val="nil"/>
              <w:bottom w:val="single" w:sz="4" w:space="0" w:color="auto"/>
              <w:right w:val="single" w:sz="4" w:space="0" w:color="auto"/>
            </w:tcBorders>
            <w:shd w:val="clear" w:color="auto" w:fill="auto"/>
          </w:tcPr>
          <w:p w:rsidR="00D81559" w:rsidRPr="00126B91" w:rsidRDefault="009848B0" w:rsidP="001A6744">
            <w:pPr>
              <w:pStyle w:val="ListParagraph"/>
              <w:numPr>
                <w:ilvl w:val="0"/>
                <w:numId w:val="19"/>
              </w:numPr>
              <w:rPr>
                <w:rFonts w:ascii="Verdana" w:eastAsia="Times New Roman" w:hAnsi="Verdana"/>
                <w:sz w:val="18"/>
                <w:szCs w:val="18"/>
                <w:lang w:eastAsia="en-GB"/>
              </w:rPr>
            </w:pPr>
            <w:r w:rsidRPr="00126B91">
              <w:rPr>
                <w:rFonts w:ascii="Verdana" w:eastAsia="Times New Roman" w:hAnsi="Verdana"/>
                <w:sz w:val="18"/>
                <w:szCs w:val="18"/>
                <w:lang w:eastAsia="en-GB"/>
              </w:rPr>
              <w:t xml:space="preserve">Q7 &amp; Q8 - Same clarification required as per the comment above on provisional release. </w:t>
            </w:r>
          </w:p>
          <w:p w:rsidR="00D81559" w:rsidRPr="00126B91" w:rsidRDefault="009848B0" w:rsidP="00126B91">
            <w:pPr>
              <w:pStyle w:val="ListParagraph"/>
              <w:ind w:left="360"/>
              <w:rPr>
                <w:rFonts w:ascii="Verdana" w:eastAsia="Times New Roman" w:hAnsi="Verdana"/>
                <w:sz w:val="18"/>
                <w:szCs w:val="18"/>
                <w:lang w:eastAsia="en-GB"/>
              </w:rPr>
            </w:pPr>
            <w:r w:rsidRPr="00126B91">
              <w:rPr>
                <w:rFonts w:ascii="Verdana" w:eastAsia="Times New Roman" w:hAnsi="Verdana"/>
                <w:sz w:val="18"/>
                <w:szCs w:val="18"/>
                <w:lang w:eastAsia="en-GB"/>
              </w:rPr>
              <w:t xml:space="preserve">Q10 &amp; Q11   The answer to Question 10 says that MA granted according to Art. 10 (generic and hybrid) after 29 March 2019 should have a RefMP that is or has been authorised in one of the EU-27 Member States (UK, without specific agreements, is therefore excluded).    The answer to Question 11 says that Bioequivalence studies performed with a UK sourced product can be used in generic/hybrid Marketing Authorization applications only if the MA for that application will be granted before 29 March 2019.  </w:t>
            </w:r>
          </w:p>
          <w:p w:rsidR="00D81559" w:rsidRPr="00126B91" w:rsidRDefault="009848B0" w:rsidP="00126B91">
            <w:pPr>
              <w:pStyle w:val="ListParagraph"/>
              <w:ind w:left="360"/>
              <w:rPr>
                <w:rFonts w:ascii="Verdana" w:eastAsia="Times New Roman" w:hAnsi="Verdana"/>
                <w:sz w:val="18"/>
                <w:szCs w:val="18"/>
                <w:lang w:eastAsia="en-GB"/>
              </w:rPr>
            </w:pPr>
            <w:r w:rsidRPr="00126B91">
              <w:rPr>
                <w:rFonts w:ascii="Verdana" w:eastAsia="Times New Roman" w:hAnsi="Verdana"/>
                <w:sz w:val="18"/>
                <w:szCs w:val="18"/>
                <w:lang w:eastAsia="en-GB"/>
              </w:rPr>
              <w:t xml:space="preserve">The above situation will prevent applicants running repeat use, MRP or duplicate DCP procedures having a UK RefMP or supported by bioequivalence studies using a UK sourced product if these procedures had not  been completed  (MA granted) before 29 March 2019. Given the timelines of some of the above mentioned procedures, an applicant is already prevented from starting such procedures. Please clarify. </w:t>
            </w:r>
          </w:p>
          <w:p w:rsidR="003021DB" w:rsidRDefault="009848B0" w:rsidP="00126B91">
            <w:pPr>
              <w:pStyle w:val="ListParagraph"/>
              <w:ind w:left="360"/>
              <w:rPr>
                <w:rFonts w:ascii="Verdana" w:eastAsia="Times New Roman" w:hAnsi="Verdana"/>
                <w:sz w:val="18"/>
                <w:szCs w:val="18"/>
                <w:lang w:eastAsia="en-GB"/>
              </w:rPr>
            </w:pPr>
            <w:r w:rsidRPr="00126B91">
              <w:rPr>
                <w:rFonts w:ascii="Verdana" w:eastAsia="Times New Roman" w:hAnsi="Verdana"/>
                <w:sz w:val="18"/>
                <w:szCs w:val="18"/>
                <w:lang w:eastAsia="en-GB"/>
              </w:rPr>
              <w:t xml:space="preserve">Q12 &amp; Q16 - This states 29 Mar 2019 as a cut off, whereas other answers state 30 Mar 2019. What is the rationale for this? </w:t>
            </w:r>
          </w:p>
          <w:p w:rsidR="003021DB" w:rsidRDefault="003021DB" w:rsidP="003021DB">
            <w:pPr>
              <w:textAlignment w:val="cente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 xml:space="preserve">please refer to Q&amp;A. </w:t>
            </w:r>
          </w:p>
          <w:p w:rsidR="00D81559" w:rsidRPr="003021DB" w:rsidRDefault="009848B0" w:rsidP="003021DB">
            <w:pPr>
              <w:rPr>
                <w:rFonts w:ascii="Verdana" w:eastAsia="Times New Roman" w:hAnsi="Verdana"/>
                <w:sz w:val="18"/>
                <w:szCs w:val="18"/>
                <w:lang w:eastAsia="en-GB"/>
              </w:rPr>
            </w:pPr>
            <w:r w:rsidRPr="003021DB">
              <w:rPr>
                <w:rFonts w:ascii="Verdana" w:eastAsia="Times New Roman" w:hAnsi="Verdana"/>
                <w:sz w:val="18"/>
                <w:szCs w:val="18"/>
                <w:lang w:eastAsia="en-GB"/>
              </w:rPr>
              <w:t xml:space="preserve"> </w:t>
            </w:r>
          </w:p>
        </w:tc>
      </w:tr>
      <w:tr w:rsidR="00242800" w:rsidTr="000A66BA">
        <w:trPr>
          <w:trHeight w:val="118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0A66BA"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0A66BA" w:rsidRPr="000A66BA"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Generic MPs</w:t>
            </w:r>
          </w:p>
        </w:tc>
        <w:tc>
          <w:tcPr>
            <w:tcW w:w="1843" w:type="dxa"/>
            <w:tcBorders>
              <w:top w:val="single" w:sz="4" w:space="0" w:color="auto"/>
              <w:left w:val="nil"/>
              <w:bottom w:val="single" w:sz="4" w:space="0" w:color="auto"/>
              <w:right w:val="single" w:sz="4" w:space="0" w:color="auto"/>
            </w:tcBorders>
            <w:shd w:val="clear" w:color="auto" w:fill="auto"/>
            <w:vAlign w:val="center"/>
          </w:tcPr>
          <w:p w:rsidR="000A66BA"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 xml:space="preserve">Published </w:t>
            </w:r>
            <w:hyperlink r:id="rId11" w:history="1">
              <w:r w:rsidRPr="00673BF2">
                <w:rPr>
                  <w:rStyle w:val="Hyperlink"/>
                  <w:rFonts w:ascii="Verdana" w:eastAsia="Times New Roman" w:hAnsi="Verdana"/>
                  <w:sz w:val="18"/>
                  <w:szCs w:val="18"/>
                  <w:lang w:eastAsia="en-GB"/>
                </w:rPr>
                <w:t>EMA Practical guidance document</w:t>
              </w:r>
              <w:r>
                <w:rPr>
                  <w:rStyle w:val="Hyperlink"/>
                  <w:rFonts w:ascii="Verdana" w:eastAsia="Times New Roman" w:hAnsi="Verdana"/>
                  <w:sz w:val="18"/>
                  <w:szCs w:val="18"/>
                  <w:lang w:eastAsia="en-GB"/>
                </w:rPr>
                <w:t>, December 2017</w:t>
              </w:r>
              <w:r w:rsidRPr="00673BF2">
                <w:rPr>
                  <w:rStyle w:val="Hyperlink"/>
                  <w:rFonts w:ascii="Verdana" w:eastAsia="Times New Roman" w:hAnsi="Verdana"/>
                  <w:sz w:val="18"/>
                  <w:szCs w:val="18"/>
                  <w:lang w:eastAsia="en-GB"/>
                </w:rPr>
                <w:t xml:space="preserve"> </w:t>
              </w:r>
            </w:hyperlink>
            <w:r w:rsidRPr="005116D2">
              <w:rPr>
                <w:rFonts w:ascii="Verdana" w:eastAsia="Times New Roman" w:hAnsi="Verdana"/>
                <w:sz w:val="18"/>
                <w:szCs w:val="18"/>
                <w:lang w:eastAsia="en-GB"/>
              </w:rPr>
              <w:t xml:space="preserve"> </w:t>
            </w:r>
            <w:r>
              <w:rPr>
                <w:rFonts w:ascii="Verdana" w:eastAsia="Times New Roman" w:hAnsi="Verdana"/>
                <w:sz w:val="18"/>
                <w:szCs w:val="18"/>
                <w:lang w:eastAsia="en-GB"/>
              </w:rPr>
              <w:t>[Q2]</w:t>
            </w:r>
          </w:p>
        </w:tc>
        <w:tc>
          <w:tcPr>
            <w:tcW w:w="1134" w:type="dxa"/>
            <w:tcBorders>
              <w:top w:val="single" w:sz="4" w:space="0" w:color="auto"/>
              <w:left w:val="nil"/>
              <w:bottom w:val="single" w:sz="4" w:space="0" w:color="auto"/>
              <w:right w:val="single" w:sz="4" w:space="0" w:color="auto"/>
            </w:tcBorders>
            <w:shd w:val="clear" w:color="auto" w:fill="auto"/>
            <w:vAlign w:val="center"/>
          </w:tcPr>
          <w:p w:rsidR="000A66BA" w:rsidRDefault="009848B0" w:rsidP="002E392E">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0A66BA" w:rsidRDefault="009848B0" w:rsidP="001A6744">
            <w:pPr>
              <w:pStyle w:val="ListParagraph"/>
              <w:numPr>
                <w:ilvl w:val="0"/>
                <w:numId w:val="19"/>
              </w:numPr>
              <w:rPr>
                <w:rFonts w:ascii="Verdana" w:eastAsia="Times New Roman" w:hAnsi="Verdana"/>
                <w:sz w:val="18"/>
                <w:szCs w:val="18"/>
                <w:lang w:eastAsia="en-GB"/>
              </w:rPr>
            </w:pPr>
            <w:r w:rsidRPr="00673BF2">
              <w:rPr>
                <w:rFonts w:ascii="Verdana" w:eastAsia="Times New Roman" w:hAnsi="Verdana"/>
                <w:sz w:val="18"/>
                <w:szCs w:val="18"/>
                <w:lang w:eastAsia="en-GB"/>
              </w:rPr>
              <w:t xml:space="preserve">Q10 &amp; Q11   The answer to Question 10 says that MA granted according to Art. 10 (generic and hybrid) after 29 March 2019 should have a RefMP that is or has been authorised in one of the EU-27 Member States (UK, without specific agreements, is therefore excluded).    The answer to Question 11 says that Bioequivalence studies performed with a UK sourced product can be used in generic/hybrid Marketing Authorization applications only if the MA for that application will be granted before 29 March 2019.  </w:t>
            </w:r>
            <w:r w:rsidRPr="00A812C5">
              <w:rPr>
                <w:rFonts w:ascii="Verdana" w:eastAsia="Times New Roman" w:hAnsi="Verdana"/>
                <w:sz w:val="18"/>
                <w:szCs w:val="18"/>
                <w:lang w:eastAsia="en-GB"/>
              </w:rPr>
              <w:t xml:space="preserve">The above situation will prevent applicants running repeat use, MRP or duplicate DCP procedures having a UK RefMP or supported by bioequivalence studies using a UK sourced product if these procedures had not been </w:t>
            </w:r>
            <w:r w:rsidR="00F31067" w:rsidRPr="00A812C5">
              <w:rPr>
                <w:rFonts w:ascii="Verdana" w:eastAsia="Times New Roman" w:hAnsi="Verdana"/>
                <w:sz w:val="18"/>
                <w:szCs w:val="18"/>
                <w:lang w:eastAsia="en-GB"/>
              </w:rPr>
              <w:t>completed (</w:t>
            </w:r>
            <w:r w:rsidRPr="00A812C5">
              <w:rPr>
                <w:rFonts w:ascii="Verdana" w:eastAsia="Times New Roman" w:hAnsi="Verdana"/>
                <w:sz w:val="18"/>
                <w:szCs w:val="18"/>
                <w:lang w:eastAsia="en-GB"/>
              </w:rPr>
              <w:t>MA granted) before 29 March 2019. Given the timelines of some of the above mentioned procedures, an applicant is already prevented from starting s</w:t>
            </w:r>
            <w:r>
              <w:rPr>
                <w:rFonts w:ascii="Verdana" w:eastAsia="Times New Roman" w:hAnsi="Verdana"/>
                <w:sz w:val="18"/>
                <w:szCs w:val="18"/>
                <w:lang w:eastAsia="en-GB"/>
              </w:rPr>
              <w:t>uch procedures. Please clarify.</w:t>
            </w:r>
          </w:p>
          <w:p w:rsidR="009470DF" w:rsidRDefault="003021DB" w:rsidP="003021DB">
            <w:pP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 xml:space="preserve">please refer to Q&amp;A. </w:t>
            </w:r>
          </w:p>
          <w:p w:rsidR="009470DF" w:rsidRDefault="009470DF" w:rsidP="003021DB">
            <w:pPr>
              <w:rPr>
                <w:rFonts w:ascii="Verdana" w:eastAsia="Times New Roman" w:hAnsi="Verdana"/>
                <w:color w:val="FF0000"/>
                <w:sz w:val="18"/>
                <w:szCs w:val="18"/>
                <w:lang w:eastAsia="en-GB"/>
              </w:rPr>
            </w:pPr>
          </w:p>
          <w:p w:rsidR="003C7423" w:rsidRDefault="009470DF" w:rsidP="003021DB">
            <w:pPr>
              <w:rPr>
                <w:rFonts w:ascii="Verdana" w:eastAsia="Times New Roman" w:hAnsi="Verdana"/>
                <w:color w:val="FF0000"/>
                <w:sz w:val="18"/>
                <w:szCs w:val="18"/>
                <w:lang w:eastAsia="en-GB"/>
              </w:rPr>
            </w:pPr>
            <w:r>
              <w:rPr>
                <w:rFonts w:ascii="Verdana" w:eastAsia="Times New Roman" w:hAnsi="Verdana"/>
                <w:color w:val="FF0000"/>
                <w:sz w:val="18"/>
                <w:szCs w:val="18"/>
                <w:lang w:eastAsia="en-GB"/>
              </w:rPr>
              <w:t>(</w:t>
            </w:r>
            <w:r w:rsidR="003C7423" w:rsidRPr="003C7423">
              <w:rPr>
                <w:rFonts w:ascii="Verdana" w:eastAsia="Times New Roman" w:hAnsi="Verdana"/>
                <w:color w:val="FF0000"/>
                <w:sz w:val="18"/>
                <w:szCs w:val="18"/>
                <w:lang w:eastAsia="en-GB"/>
              </w:rPr>
              <w:t xml:space="preserve">Discussions on MRP/DCP are outside of the scope of the meeting. Refer to Q&amp; A document and plan studies accordingly.  There may be flexibility where studies have been completed and application is planned to be submitted prior to March 19. </w:t>
            </w:r>
            <w:r>
              <w:rPr>
                <w:rFonts w:ascii="Verdana" w:eastAsia="Times New Roman" w:hAnsi="Verdana"/>
                <w:color w:val="FF0000"/>
                <w:sz w:val="18"/>
                <w:szCs w:val="18"/>
                <w:lang w:eastAsia="en-GB"/>
              </w:rPr>
              <w:t>Commission</w:t>
            </w:r>
            <w:r w:rsidR="003C7423" w:rsidRPr="003C7423">
              <w:rPr>
                <w:rFonts w:ascii="Verdana" w:eastAsia="Times New Roman" w:hAnsi="Verdana"/>
                <w:color w:val="FF0000"/>
                <w:sz w:val="18"/>
                <w:szCs w:val="18"/>
                <w:lang w:eastAsia="en-GB"/>
              </w:rPr>
              <w:t xml:space="preserve"> </w:t>
            </w:r>
            <w:r w:rsidRPr="003C7423">
              <w:rPr>
                <w:rFonts w:ascii="Verdana" w:eastAsia="Times New Roman" w:hAnsi="Verdana"/>
                <w:color w:val="FF0000"/>
                <w:sz w:val="18"/>
                <w:szCs w:val="18"/>
                <w:lang w:eastAsia="en-GB"/>
              </w:rPr>
              <w:t xml:space="preserve">commented </w:t>
            </w:r>
            <w:r>
              <w:rPr>
                <w:rFonts w:ascii="Verdana" w:eastAsia="Times New Roman" w:hAnsi="Verdana"/>
                <w:color w:val="FF0000"/>
                <w:sz w:val="18"/>
                <w:szCs w:val="18"/>
                <w:lang w:eastAsia="en-GB"/>
              </w:rPr>
              <w:t xml:space="preserve">that </w:t>
            </w:r>
            <w:r w:rsidRPr="003C7423">
              <w:rPr>
                <w:rFonts w:ascii="Verdana" w:eastAsia="Times New Roman" w:hAnsi="Verdana"/>
                <w:color w:val="FF0000"/>
                <w:sz w:val="18"/>
                <w:szCs w:val="18"/>
                <w:lang w:eastAsia="en-GB"/>
              </w:rPr>
              <w:t>each</w:t>
            </w:r>
            <w:r w:rsidR="003C7423" w:rsidRPr="003C7423">
              <w:rPr>
                <w:rFonts w:ascii="Verdana" w:eastAsia="Times New Roman" w:hAnsi="Verdana"/>
                <w:color w:val="FF0000"/>
                <w:sz w:val="18"/>
                <w:szCs w:val="18"/>
                <w:lang w:eastAsia="en-GB"/>
              </w:rPr>
              <w:t xml:space="preserve"> situation would be evaluated on a case by case basis</w:t>
            </w:r>
            <w:r>
              <w:rPr>
                <w:rFonts w:ascii="Verdana" w:eastAsia="Times New Roman" w:hAnsi="Verdana"/>
                <w:color w:val="FF0000"/>
                <w:sz w:val="18"/>
                <w:szCs w:val="18"/>
                <w:lang w:eastAsia="en-GB"/>
              </w:rPr>
              <w:t xml:space="preserve">. Also considering </w:t>
            </w:r>
            <w:r w:rsidR="003C7423" w:rsidRPr="003C7423">
              <w:rPr>
                <w:rFonts w:ascii="Verdana" w:eastAsia="Times New Roman" w:hAnsi="Verdana"/>
                <w:color w:val="FF0000"/>
                <w:sz w:val="18"/>
                <w:szCs w:val="18"/>
                <w:lang w:eastAsia="en-GB"/>
              </w:rPr>
              <w:t>“legislation refers to Reference product not Global Reference Product”</w:t>
            </w:r>
          </w:p>
          <w:p w:rsidR="003021DB" w:rsidRPr="003021DB" w:rsidRDefault="003021DB" w:rsidP="003021DB">
            <w:pPr>
              <w:rPr>
                <w:rFonts w:ascii="Verdana" w:eastAsia="Times New Roman" w:hAnsi="Verdana"/>
                <w:sz w:val="18"/>
                <w:szCs w:val="18"/>
                <w:lang w:eastAsia="en-GB"/>
              </w:rPr>
            </w:pPr>
          </w:p>
        </w:tc>
      </w:tr>
      <w:tr w:rsidR="00242800" w:rsidTr="000A66BA">
        <w:trPr>
          <w:trHeight w:val="118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0A66BA" w:rsidRPr="00F6066D" w:rsidRDefault="009848B0" w:rsidP="00F6066D">
            <w:pPr>
              <w:rPr>
                <w:rFonts w:ascii="Verdana" w:eastAsia="Times New Roman" w:hAnsi="Verdana"/>
                <w:sz w:val="18"/>
                <w:szCs w:val="18"/>
                <w:lang w:eastAsia="en-GB"/>
              </w:rPr>
            </w:pPr>
            <w:r w:rsidRPr="00F6066D">
              <w:rPr>
                <w:rFonts w:ascii="Verdana" w:eastAsia="Times New Roman" w:hAnsi="Verdana"/>
                <w:sz w:val="18"/>
                <w:szCs w:val="18"/>
                <w:lang w:eastAsia="en-GB"/>
              </w:rPr>
              <w:t>EIPG</w:t>
            </w:r>
          </w:p>
        </w:tc>
        <w:tc>
          <w:tcPr>
            <w:tcW w:w="2185" w:type="dxa"/>
            <w:tcBorders>
              <w:top w:val="single" w:sz="4" w:space="0" w:color="auto"/>
              <w:left w:val="nil"/>
              <w:bottom w:val="single" w:sz="4" w:space="0" w:color="auto"/>
              <w:right w:val="single" w:sz="4" w:space="0" w:color="auto"/>
            </w:tcBorders>
            <w:shd w:val="clear" w:color="auto" w:fill="auto"/>
            <w:vAlign w:val="center"/>
          </w:tcPr>
          <w:p w:rsidR="000A66BA" w:rsidRPr="000A66BA"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Dates UK Withdrawal</w:t>
            </w:r>
          </w:p>
        </w:tc>
        <w:tc>
          <w:tcPr>
            <w:tcW w:w="1843" w:type="dxa"/>
            <w:tcBorders>
              <w:top w:val="single" w:sz="4" w:space="0" w:color="auto"/>
              <w:left w:val="nil"/>
              <w:bottom w:val="single" w:sz="4" w:space="0" w:color="auto"/>
              <w:right w:val="single" w:sz="4" w:space="0" w:color="auto"/>
            </w:tcBorders>
            <w:shd w:val="clear" w:color="auto" w:fill="auto"/>
            <w:vAlign w:val="center"/>
          </w:tcPr>
          <w:p w:rsidR="000A66BA" w:rsidRDefault="009848B0" w:rsidP="00F6066D">
            <w:pPr>
              <w:rPr>
                <w:rFonts w:ascii="Verdana" w:eastAsia="Times New Roman" w:hAnsi="Verdana"/>
                <w:sz w:val="18"/>
                <w:szCs w:val="18"/>
                <w:lang w:eastAsia="en-GB"/>
              </w:rPr>
            </w:pPr>
            <w:r>
              <w:rPr>
                <w:rFonts w:ascii="Verdana" w:eastAsia="Times New Roman" w:hAnsi="Verdana"/>
                <w:sz w:val="18"/>
                <w:szCs w:val="18"/>
                <w:lang w:eastAsia="en-GB"/>
              </w:rPr>
              <w:t xml:space="preserve">Published </w:t>
            </w:r>
            <w:hyperlink r:id="rId12" w:history="1">
              <w:r w:rsidRPr="00673BF2">
                <w:rPr>
                  <w:rStyle w:val="Hyperlink"/>
                  <w:rFonts w:ascii="Verdana" w:eastAsia="Times New Roman" w:hAnsi="Verdana"/>
                  <w:sz w:val="18"/>
                  <w:szCs w:val="18"/>
                  <w:lang w:eastAsia="en-GB"/>
                </w:rPr>
                <w:t>EMA Practical guidance document</w:t>
              </w:r>
              <w:r>
                <w:rPr>
                  <w:rStyle w:val="Hyperlink"/>
                  <w:rFonts w:ascii="Verdana" w:eastAsia="Times New Roman" w:hAnsi="Verdana"/>
                  <w:sz w:val="18"/>
                  <w:szCs w:val="18"/>
                  <w:lang w:eastAsia="en-GB"/>
                </w:rPr>
                <w:t>, December 2017</w:t>
              </w:r>
              <w:r w:rsidRPr="00673BF2">
                <w:rPr>
                  <w:rStyle w:val="Hyperlink"/>
                  <w:rFonts w:ascii="Verdana" w:eastAsia="Times New Roman" w:hAnsi="Verdana"/>
                  <w:sz w:val="18"/>
                  <w:szCs w:val="18"/>
                  <w:lang w:eastAsia="en-GB"/>
                </w:rPr>
                <w:t xml:space="preserve"> </w:t>
              </w:r>
            </w:hyperlink>
            <w:r w:rsidRPr="005116D2">
              <w:rPr>
                <w:rFonts w:ascii="Verdana" w:eastAsia="Times New Roman" w:hAnsi="Verdana"/>
                <w:sz w:val="18"/>
                <w:szCs w:val="18"/>
                <w:lang w:eastAsia="en-GB"/>
              </w:rPr>
              <w:t xml:space="preserve"> </w:t>
            </w:r>
            <w:r>
              <w:rPr>
                <w:rFonts w:ascii="Verdana" w:eastAsia="Times New Roman" w:hAnsi="Verdana"/>
                <w:sz w:val="18"/>
                <w:szCs w:val="18"/>
                <w:lang w:eastAsia="en-GB"/>
              </w:rPr>
              <w:t>[Q2]</w:t>
            </w:r>
          </w:p>
        </w:tc>
        <w:tc>
          <w:tcPr>
            <w:tcW w:w="1134" w:type="dxa"/>
            <w:tcBorders>
              <w:top w:val="single" w:sz="4" w:space="0" w:color="auto"/>
              <w:left w:val="nil"/>
              <w:bottom w:val="single" w:sz="4" w:space="0" w:color="auto"/>
              <w:right w:val="single" w:sz="4" w:space="0" w:color="auto"/>
            </w:tcBorders>
            <w:shd w:val="clear" w:color="auto" w:fill="auto"/>
            <w:vAlign w:val="center"/>
          </w:tcPr>
          <w:p w:rsidR="000A66BA" w:rsidRDefault="009848B0" w:rsidP="002E392E">
            <w:pPr>
              <w:rPr>
                <w:rFonts w:ascii="Verdana" w:eastAsia="Times New Roman" w:hAnsi="Verdana"/>
                <w:sz w:val="18"/>
                <w:szCs w:val="18"/>
                <w:lang w:eastAsia="en-GB"/>
              </w:rPr>
            </w:pPr>
            <w:r>
              <w:rPr>
                <w:rFonts w:ascii="Verdana" w:eastAsia="Times New Roman" w:hAnsi="Verdana"/>
                <w:sz w:val="18"/>
                <w:szCs w:val="18"/>
                <w:lang w:eastAsia="en-GB"/>
              </w:rPr>
              <w:t>11/03/18</w:t>
            </w:r>
          </w:p>
        </w:tc>
        <w:tc>
          <w:tcPr>
            <w:tcW w:w="7229" w:type="dxa"/>
            <w:tcBorders>
              <w:top w:val="single" w:sz="4" w:space="0" w:color="auto"/>
              <w:left w:val="nil"/>
              <w:bottom w:val="single" w:sz="4" w:space="0" w:color="auto"/>
              <w:right w:val="single" w:sz="4" w:space="0" w:color="auto"/>
            </w:tcBorders>
            <w:shd w:val="clear" w:color="auto" w:fill="auto"/>
          </w:tcPr>
          <w:p w:rsidR="000A66BA" w:rsidRDefault="009848B0" w:rsidP="001A6744">
            <w:pPr>
              <w:pStyle w:val="ListParagraph"/>
              <w:numPr>
                <w:ilvl w:val="0"/>
                <w:numId w:val="19"/>
              </w:numPr>
              <w:rPr>
                <w:rFonts w:ascii="Verdana" w:eastAsia="Times New Roman" w:hAnsi="Verdana"/>
                <w:sz w:val="18"/>
                <w:szCs w:val="18"/>
                <w:lang w:eastAsia="en-GB"/>
              </w:rPr>
            </w:pPr>
            <w:r w:rsidRPr="00A812C5">
              <w:rPr>
                <w:rFonts w:ascii="Verdana" w:eastAsia="Times New Roman" w:hAnsi="Verdana"/>
                <w:sz w:val="18"/>
                <w:szCs w:val="18"/>
                <w:lang w:eastAsia="en-GB"/>
              </w:rPr>
              <w:t xml:space="preserve">Q12 &amp; Q16 - This states 29 Mar 2019 as a cut off, whereas other answers state 30 Mar 2019. What is the rationale for this?  </w:t>
            </w:r>
          </w:p>
          <w:p w:rsidR="003021DB" w:rsidRDefault="003021DB" w:rsidP="003021DB">
            <w:pPr>
              <w:rPr>
                <w:rFonts w:ascii="Verdana" w:eastAsia="Times New Roman" w:hAnsi="Verdana"/>
                <w:sz w:val="18"/>
                <w:szCs w:val="18"/>
                <w:lang w:eastAsia="en-GB"/>
              </w:rPr>
            </w:pPr>
          </w:p>
          <w:p w:rsidR="003021DB" w:rsidRPr="003021DB" w:rsidRDefault="003021DB" w:rsidP="003021DB">
            <w:pPr>
              <w:rPr>
                <w:rFonts w:ascii="Verdana" w:eastAsia="Times New Roman" w:hAnsi="Verdana"/>
                <w:color w:val="FF0000"/>
                <w:sz w:val="18"/>
                <w:szCs w:val="18"/>
                <w:lang w:eastAsia="en-GB"/>
              </w:rPr>
            </w:pPr>
            <w:r w:rsidRPr="009F7839">
              <w:rPr>
                <w:rFonts w:ascii="Verdana" w:eastAsia="Times New Roman" w:hAnsi="Verdana"/>
                <w:b/>
                <w:color w:val="FF0000"/>
                <w:sz w:val="18"/>
                <w:szCs w:val="18"/>
                <w:lang w:eastAsia="en-GB"/>
              </w:rPr>
              <w:t>Response:</w:t>
            </w:r>
            <w:r w:rsidRPr="009F7839">
              <w:rPr>
                <w:rFonts w:ascii="Verdana" w:eastAsia="Times New Roman" w:hAnsi="Verdana"/>
                <w:color w:val="FF0000"/>
                <w:sz w:val="18"/>
                <w:szCs w:val="18"/>
                <w:lang w:eastAsia="en-GB"/>
              </w:rPr>
              <w:t xml:space="preserve"> </w:t>
            </w:r>
            <w:r>
              <w:rPr>
                <w:rFonts w:ascii="Verdana" w:eastAsia="Times New Roman" w:hAnsi="Verdana"/>
                <w:color w:val="FF0000"/>
                <w:sz w:val="18"/>
                <w:szCs w:val="18"/>
                <w:lang w:eastAsia="en-GB"/>
              </w:rPr>
              <w:t>Distinction between things that need to be done before UK withdrawal and things that will happen afterwards</w:t>
            </w:r>
          </w:p>
        </w:tc>
      </w:tr>
      <w:tr w:rsidR="00C72003" w:rsidTr="000A66BA">
        <w:trPr>
          <w:trHeight w:val="118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C72003" w:rsidRDefault="00C72003" w:rsidP="00F6066D">
            <w:pPr>
              <w:rPr>
                <w:rFonts w:ascii="Verdana" w:eastAsia="Times New Roman" w:hAnsi="Verdana"/>
                <w:sz w:val="18"/>
                <w:szCs w:val="18"/>
                <w:lang w:eastAsia="en-GB"/>
              </w:rPr>
            </w:pPr>
          </w:p>
        </w:tc>
        <w:tc>
          <w:tcPr>
            <w:tcW w:w="2185" w:type="dxa"/>
            <w:tcBorders>
              <w:top w:val="single" w:sz="4" w:space="0" w:color="auto"/>
              <w:left w:val="nil"/>
              <w:bottom w:val="single" w:sz="4" w:space="0" w:color="auto"/>
              <w:right w:val="single" w:sz="4" w:space="0" w:color="auto"/>
            </w:tcBorders>
            <w:shd w:val="clear" w:color="auto" w:fill="auto"/>
            <w:vAlign w:val="center"/>
          </w:tcPr>
          <w:p w:rsidR="00C72003" w:rsidRDefault="00147925" w:rsidP="00F6066D">
            <w:pPr>
              <w:rPr>
                <w:rFonts w:ascii="Verdana" w:eastAsia="Times New Roman" w:hAnsi="Verdana"/>
                <w:sz w:val="18"/>
                <w:szCs w:val="18"/>
                <w:lang w:eastAsia="en-GB"/>
              </w:rPr>
            </w:pPr>
            <w:r>
              <w:rPr>
                <w:rFonts w:ascii="Verdana" w:eastAsia="Times New Roman" w:hAnsi="Verdana"/>
                <w:sz w:val="18"/>
                <w:szCs w:val="18"/>
                <w:lang w:eastAsia="en-GB"/>
              </w:rPr>
              <w:t>AOB</w:t>
            </w:r>
          </w:p>
        </w:tc>
        <w:tc>
          <w:tcPr>
            <w:tcW w:w="1843" w:type="dxa"/>
            <w:tcBorders>
              <w:top w:val="single" w:sz="4" w:space="0" w:color="auto"/>
              <w:left w:val="nil"/>
              <w:bottom w:val="single" w:sz="4" w:space="0" w:color="auto"/>
              <w:right w:val="single" w:sz="4" w:space="0" w:color="auto"/>
            </w:tcBorders>
            <w:shd w:val="clear" w:color="auto" w:fill="auto"/>
            <w:vAlign w:val="center"/>
          </w:tcPr>
          <w:p w:rsidR="00C72003" w:rsidRDefault="00C72003" w:rsidP="00F6066D">
            <w:pPr>
              <w:rPr>
                <w:rFonts w:ascii="Verdana" w:eastAsia="Times New Roman" w:hAnsi="Verdana"/>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72003" w:rsidRDefault="00C72003" w:rsidP="002E392E">
            <w:pPr>
              <w:rPr>
                <w:rFonts w:ascii="Verdana" w:eastAsia="Times New Roman" w:hAnsi="Verdana"/>
                <w:sz w:val="18"/>
                <w:szCs w:val="18"/>
                <w:lang w:eastAsia="en-GB"/>
              </w:rPr>
            </w:pPr>
          </w:p>
        </w:tc>
        <w:tc>
          <w:tcPr>
            <w:tcW w:w="7229" w:type="dxa"/>
            <w:tcBorders>
              <w:top w:val="single" w:sz="4" w:space="0" w:color="auto"/>
              <w:left w:val="nil"/>
              <w:bottom w:val="single" w:sz="4" w:space="0" w:color="auto"/>
              <w:right w:val="single" w:sz="4" w:space="0" w:color="auto"/>
            </w:tcBorders>
            <w:shd w:val="clear" w:color="auto" w:fill="auto"/>
          </w:tcPr>
          <w:p w:rsidR="00C72003" w:rsidRPr="00147925" w:rsidRDefault="00C72003" w:rsidP="00C72003">
            <w:pPr>
              <w:ind w:left="33"/>
              <w:rPr>
                <w:rFonts w:ascii="Verdana" w:hAnsi="Verdana"/>
                <w:color w:val="FF0000"/>
                <w:sz w:val="18"/>
                <w:szCs w:val="18"/>
              </w:rPr>
            </w:pPr>
            <w:r w:rsidRPr="00147925">
              <w:rPr>
                <w:rFonts w:ascii="Verdana" w:hAnsi="Verdana"/>
                <w:b/>
                <w:color w:val="FF0000"/>
                <w:sz w:val="18"/>
                <w:szCs w:val="18"/>
              </w:rPr>
              <w:t>Question</w:t>
            </w:r>
            <w:r w:rsidRPr="00147925">
              <w:rPr>
                <w:rFonts w:ascii="Verdana" w:hAnsi="Verdana"/>
                <w:color w:val="FF0000"/>
                <w:sz w:val="18"/>
                <w:szCs w:val="18"/>
              </w:rPr>
              <w:t xml:space="preserve">: Can there be adjusted fees for Brexit related changes? </w:t>
            </w:r>
          </w:p>
          <w:p w:rsidR="00147925" w:rsidRPr="00147925" w:rsidRDefault="00147925" w:rsidP="00C72003">
            <w:pPr>
              <w:ind w:left="33"/>
              <w:rPr>
                <w:rFonts w:ascii="Verdana" w:hAnsi="Verdana"/>
                <w:b/>
                <w:color w:val="FF0000"/>
                <w:sz w:val="18"/>
                <w:szCs w:val="18"/>
              </w:rPr>
            </w:pPr>
          </w:p>
          <w:p w:rsidR="00C72003" w:rsidRPr="00147925" w:rsidRDefault="00C72003" w:rsidP="00C72003">
            <w:pPr>
              <w:ind w:left="33"/>
              <w:rPr>
                <w:rFonts w:ascii="Verdana" w:hAnsi="Verdana"/>
                <w:color w:val="FF0000"/>
                <w:sz w:val="18"/>
                <w:szCs w:val="18"/>
              </w:rPr>
            </w:pPr>
            <w:r w:rsidRPr="00147925">
              <w:rPr>
                <w:rFonts w:ascii="Verdana" w:hAnsi="Verdana"/>
                <w:b/>
                <w:color w:val="FF0000"/>
                <w:sz w:val="18"/>
                <w:szCs w:val="18"/>
              </w:rPr>
              <w:t>Response</w:t>
            </w:r>
            <w:r w:rsidRPr="00147925">
              <w:rPr>
                <w:rFonts w:ascii="Verdana" w:hAnsi="Verdana"/>
                <w:color w:val="FF0000"/>
                <w:sz w:val="18"/>
                <w:szCs w:val="18"/>
              </w:rPr>
              <w:t>: No, same fees apply</w:t>
            </w:r>
          </w:p>
          <w:p w:rsidR="00C72003" w:rsidRPr="00960062" w:rsidRDefault="00C72003" w:rsidP="00960062">
            <w:pPr>
              <w:rPr>
                <w:rFonts w:ascii="Verdana" w:hAnsi="Verdana"/>
                <w:b/>
                <w:color w:val="FF0000"/>
                <w:sz w:val="18"/>
                <w:szCs w:val="18"/>
              </w:rPr>
            </w:pPr>
          </w:p>
        </w:tc>
      </w:tr>
      <w:tr w:rsidR="00960062" w:rsidTr="000A66BA">
        <w:trPr>
          <w:trHeight w:val="1185"/>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960062" w:rsidRPr="00F6066D" w:rsidRDefault="00960062" w:rsidP="00F6066D">
            <w:pPr>
              <w:rPr>
                <w:rFonts w:ascii="Verdana" w:eastAsia="Times New Roman" w:hAnsi="Verdana"/>
                <w:sz w:val="18"/>
                <w:szCs w:val="18"/>
                <w:lang w:eastAsia="en-GB"/>
              </w:rPr>
            </w:pPr>
          </w:p>
        </w:tc>
        <w:tc>
          <w:tcPr>
            <w:tcW w:w="2185" w:type="dxa"/>
            <w:tcBorders>
              <w:top w:val="single" w:sz="4" w:space="0" w:color="auto"/>
              <w:left w:val="nil"/>
              <w:bottom w:val="single" w:sz="4" w:space="0" w:color="auto"/>
              <w:right w:val="single" w:sz="4" w:space="0" w:color="auto"/>
            </w:tcBorders>
            <w:shd w:val="clear" w:color="auto" w:fill="auto"/>
            <w:vAlign w:val="center"/>
          </w:tcPr>
          <w:p w:rsidR="00960062" w:rsidRDefault="00960062" w:rsidP="00F6066D">
            <w:pPr>
              <w:rPr>
                <w:rFonts w:ascii="Verdana" w:eastAsia="Times New Roman" w:hAnsi="Verdana"/>
                <w:sz w:val="18"/>
                <w:szCs w:val="18"/>
                <w:lang w:eastAsia="en-GB"/>
              </w:rPr>
            </w:pPr>
            <w:r>
              <w:rPr>
                <w:rFonts w:ascii="Verdana" w:eastAsia="Times New Roman" w:hAnsi="Verdana"/>
                <w:sz w:val="18"/>
                <w:szCs w:val="18"/>
                <w:lang w:eastAsia="en-GB"/>
              </w:rPr>
              <w:t>AOB</w:t>
            </w:r>
          </w:p>
        </w:tc>
        <w:tc>
          <w:tcPr>
            <w:tcW w:w="1843" w:type="dxa"/>
            <w:tcBorders>
              <w:top w:val="single" w:sz="4" w:space="0" w:color="auto"/>
              <w:left w:val="nil"/>
              <w:bottom w:val="single" w:sz="4" w:space="0" w:color="auto"/>
              <w:right w:val="single" w:sz="4" w:space="0" w:color="auto"/>
            </w:tcBorders>
            <w:shd w:val="clear" w:color="auto" w:fill="auto"/>
            <w:vAlign w:val="center"/>
          </w:tcPr>
          <w:p w:rsidR="00960062" w:rsidRDefault="00960062" w:rsidP="00F6066D">
            <w:pPr>
              <w:rPr>
                <w:rFonts w:ascii="Verdana" w:eastAsia="Times New Roman" w:hAnsi="Verdana"/>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60062" w:rsidRDefault="00960062" w:rsidP="002E392E">
            <w:pPr>
              <w:rPr>
                <w:rFonts w:ascii="Verdana" w:eastAsia="Times New Roman" w:hAnsi="Verdana"/>
                <w:sz w:val="18"/>
                <w:szCs w:val="18"/>
                <w:lang w:eastAsia="en-GB"/>
              </w:rPr>
            </w:pPr>
          </w:p>
        </w:tc>
        <w:tc>
          <w:tcPr>
            <w:tcW w:w="7229" w:type="dxa"/>
            <w:tcBorders>
              <w:top w:val="single" w:sz="4" w:space="0" w:color="auto"/>
              <w:left w:val="nil"/>
              <w:bottom w:val="single" w:sz="4" w:space="0" w:color="auto"/>
              <w:right w:val="single" w:sz="4" w:space="0" w:color="auto"/>
            </w:tcBorders>
            <w:shd w:val="clear" w:color="auto" w:fill="auto"/>
          </w:tcPr>
          <w:p w:rsidR="00960062" w:rsidRPr="00960062" w:rsidRDefault="00960062" w:rsidP="00960062">
            <w:pPr>
              <w:rPr>
                <w:rFonts w:ascii="Verdana" w:hAnsi="Verdana"/>
                <w:color w:val="FF0000"/>
                <w:sz w:val="18"/>
                <w:szCs w:val="18"/>
              </w:rPr>
            </w:pPr>
            <w:r w:rsidRPr="00960062">
              <w:rPr>
                <w:rFonts w:ascii="Verdana" w:hAnsi="Verdana"/>
                <w:b/>
                <w:color w:val="FF0000"/>
                <w:sz w:val="18"/>
                <w:szCs w:val="18"/>
              </w:rPr>
              <w:t>Question:</w:t>
            </w:r>
            <w:r w:rsidRPr="00960062">
              <w:rPr>
                <w:rFonts w:ascii="Verdana" w:hAnsi="Verdana"/>
                <w:color w:val="FF0000"/>
                <w:sz w:val="18"/>
                <w:szCs w:val="18"/>
              </w:rPr>
              <w:t xml:space="preserve"> Do UK testing/release sites need to be deleted from MAs?</w:t>
            </w:r>
          </w:p>
          <w:p w:rsidR="00960062" w:rsidRPr="00960062" w:rsidRDefault="00960062" w:rsidP="00960062">
            <w:pPr>
              <w:rPr>
                <w:rFonts w:ascii="Verdana" w:hAnsi="Verdana"/>
                <w:color w:val="FF0000"/>
                <w:sz w:val="18"/>
                <w:szCs w:val="18"/>
              </w:rPr>
            </w:pPr>
          </w:p>
          <w:p w:rsidR="00960062" w:rsidRDefault="00960062" w:rsidP="00960062">
            <w:pPr>
              <w:rPr>
                <w:rFonts w:ascii="Verdana" w:hAnsi="Verdana"/>
                <w:color w:val="FF0000"/>
                <w:sz w:val="18"/>
                <w:szCs w:val="18"/>
              </w:rPr>
            </w:pPr>
            <w:r w:rsidRPr="00960062">
              <w:rPr>
                <w:rFonts w:ascii="Verdana" w:eastAsia="Times New Roman" w:hAnsi="Verdana"/>
                <w:b/>
                <w:color w:val="FF0000"/>
                <w:sz w:val="18"/>
                <w:szCs w:val="18"/>
                <w:lang w:eastAsia="en-GB"/>
              </w:rPr>
              <w:t>Response:</w:t>
            </w:r>
            <w:r w:rsidRPr="00960062">
              <w:rPr>
                <w:rFonts w:ascii="Verdana" w:eastAsia="Times New Roman" w:hAnsi="Verdana"/>
                <w:color w:val="FF0000"/>
                <w:sz w:val="18"/>
                <w:szCs w:val="18"/>
                <w:lang w:eastAsia="en-GB"/>
              </w:rPr>
              <w:t xml:space="preserve"> </w:t>
            </w:r>
            <w:r w:rsidRPr="00960062">
              <w:rPr>
                <w:rFonts w:ascii="Verdana" w:hAnsi="Verdana"/>
                <w:color w:val="FF0000"/>
                <w:sz w:val="18"/>
                <w:szCs w:val="18"/>
              </w:rPr>
              <w:t>Without a transition, if the MA after March 2019 includes sites located in the UK for activities where EU law requires EU sites (e.g. release), the MA would not be in line with EU law.</w:t>
            </w:r>
          </w:p>
          <w:p w:rsidR="00147925" w:rsidRDefault="00147925" w:rsidP="00960062">
            <w:pPr>
              <w:rPr>
                <w:rFonts w:ascii="Verdana" w:hAnsi="Verdana"/>
                <w:color w:val="FF0000"/>
                <w:sz w:val="18"/>
                <w:szCs w:val="18"/>
              </w:rPr>
            </w:pPr>
          </w:p>
          <w:p w:rsidR="003C7423" w:rsidRPr="003C7423" w:rsidRDefault="00C72003" w:rsidP="003C7423">
            <w:pPr>
              <w:rPr>
                <w:rFonts w:ascii="Verdana" w:hAnsi="Verdana"/>
                <w:color w:val="FF0000"/>
                <w:sz w:val="18"/>
                <w:szCs w:val="18"/>
              </w:rPr>
            </w:pPr>
            <w:r>
              <w:rPr>
                <w:rFonts w:ascii="Verdana" w:hAnsi="Verdana"/>
                <w:color w:val="FF0000"/>
                <w:sz w:val="18"/>
                <w:szCs w:val="18"/>
              </w:rPr>
              <w:t>U</w:t>
            </w:r>
            <w:r w:rsidRPr="00C72003">
              <w:rPr>
                <w:rFonts w:ascii="Verdana" w:hAnsi="Verdana"/>
                <w:color w:val="FF0000"/>
                <w:sz w:val="18"/>
                <w:szCs w:val="18"/>
              </w:rPr>
              <w:t xml:space="preserve">ntil Brexit the EMA </w:t>
            </w:r>
            <w:r w:rsidR="00147925" w:rsidRPr="00C72003">
              <w:rPr>
                <w:rFonts w:ascii="Verdana" w:hAnsi="Verdana"/>
                <w:color w:val="FF0000"/>
                <w:sz w:val="18"/>
                <w:szCs w:val="18"/>
              </w:rPr>
              <w:t>cannot</w:t>
            </w:r>
            <w:r w:rsidRPr="00C72003">
              <w:rPr>
                <w:rFonts w:ascii="Verdana" w:hAnsi="Verdana"/>
                <w:color w:val="FF0000"/>
                <w:sz w:val="18"/>
                <w:szCs w:val="18"/>
              </w:rPr>
              <w:t xml:space="preserve"> force Industry to take the UK sites out. Depending on the future relationship, they might be kept in the files. If not, they should be deleted by variation.</w:t>
            </w:r>
            <w:r w:rsidR="003C7423">
              <w:rPr>
                <w:rFonts w:ascii="Verdana" w:hAnsi="Verdana"/>
                <w:color w:val="FF0000"/>
                <w:sz w:val="18"/>
                <w:szCs w:val="18"/>
              </w:rPr>
              <w:t xml:space="preserve"> </w:t>
            </w:r>
            <w:r w:rsidR="003C7423" w:rsidRPr="003C7423">
              <w:rPr>
                <w:rFonts w:ascii="Verdana" w:hAnsi="Verdana"/>
                <w:color w:val="FF0000"/>
                <w:sz w:val="18"/>
                <w:szCs w:val="18"/>
              </w:rPr>
              <w:t>Redundant UK sites: will need to be deleted.  Can delete/replace all UK sites as a single Type 1A variation</w:t>
            </w:r>
          </w:p>
          <w:p w:rsidR="00960062" w:rsidRPr="00960062" w:rsidRDefault="003C7423" w:rsidP="003C7423">
            <w:pPr>
              <w:rPr>
                <w:rFonts w:ascii="Verdana" w:hAnsi="Verdana"/>
                <w:color w:val="FF0000"/>
                <w:sz w:val="18"/>
                <w:szCs w:val="18"/>
              </w:rPr>
            </w:pPr>
            <w:r w:rsidRPr="003C7423">
              <w:rPr>
                <w:rFonts w:ascii="Verdana" w:hAnsi="Verdana"/>
                <w:color w:val="FF0000"/>
                <w:sz w:val="18"/>
                <w:szCs w:val="18"/>
              </w:rPr>
              <w:t>Concerns raised that after removal of UK sites the UK national licence extracted from the CP will not have the required UK release and QC testing</w:t>
            </w:r>
          </w:p>
          <w:p w:rsidR="009470DF" w:rsidRDefault="009470DF" w:rsidP="00960062">
            <w:pPr>
              <w:rPr>
                <w:rFonts w:ascii="Verdana" w:hAnsi="Verdana"/>
                <w:color w:val="FF0000"/>
                <w:sz w:val="18"/>
                <w:szCs w:val="18"/>
              </w:rPr>
            </w:pPr>
          </w:p>
          <w:p w:rsidR="00960062" w:rsidRPr="00960062" w:rsidRDefault="00960062" w:rsidP="00960062">
            <w:pPr>
              <w:rPr>
                <w:rFonts w:ascii="Verdana" w:hAnsi="Verdana"/>
                <w:color w:val="FF0000"/>
                <w:sz w:val="18"/>
                <w:szCs w:val="18"/>
              </w:rPr>
            </w:pPr>
            <w:r w:rsidRPr="00960062">
              <w:rPr>
                <w:rFonts w:ascii="Verdana" w:hAnsi="Verdana"/>
                <w:color w:val="FF0000"/>
                <w:sz w:val="18"/>
                <w:szCs w:val="18"/>
              </w:rPr>
              <w:t>Brendan Cuddy (EMA Inspections) noted that he did not have a personal issue with inactive UK sites not being deleted immediately after Brexit, but commented out that any listed sites could be subject to inspection.</w:t>
            </w:r>
          </w:p>
          <w:p w:rsidR="00960062" w:rsidRPr="00960062" w:rsidRDefault="00960062" w:rsidP="00960062">
            <w:pPr>
              <w:rPr>
                <w:rFonts w:ascii="Verdana" w:eastAsia="Times New Roman" w:hAnsi="Verdana"/>
                <w:sz w:val="18"/>
                <w:szCs w:val="18"/>
                <w:lang w:eastAsia="en-GB"/>
              </w:rPr>
            </w:pPr>
          </w:p>
        </w:tc>
      </w:tr>
    </w:tbl>
    <w:p w:rsidR="00D10A3E" w:rsidRDefault="00D10A3E" w:rsidP="003021DB"/>
    <w:sectPr w:rsidR="00D10A3E" w:rsidSect="00186342">
      <w:footerReference w:type="default" r:id="rId13"/>
      <w:headerReference w:type="first" r:id="rId14"/>
      <w:footerReference w:type="first" r:id="rId15"/>
      <w:pgSz w:w="16839" w:h="23814" w:code="8"/>
      <w:pgMar w:top="1418" w:right="1247" w:bottom="1418" w:left="1247" w:header="284"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064" w:rsidRDefault="00C34064">
      <w:r>
        <w:separator/>
      </w:r>
    </w:p>
  </w:endnote>
  <w:endnote w:type="continuationSeparator" w:id="0">
    <w:p w:rsidR="00C34064" w:rsidRDefault="00C3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Founder Extended)">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1DB" w:rsidRDefault="003021DB">
    <w:pPr>
      <w:pStyle w:val="FooterAgency"/>
    </w:pPr>
  </w:p>
  <w:tbl>
    <w:tblPr>
      <w:tblW w:w="5000" w:type="pct"/>
      <w:tblLook w:val="01E0" w:firstRow="1" w:lastRow="1" w:firstColumn="1" w:lastColumn="1" w:noHBand="0" w:noVBand="0"/>
    </w:tblPr>
    <w:tblGrid>
      <w:gridCol w:w="9442"/>
      <w:gridCol w:w="4903"/>
    </w:tblGrid>
    <w:tr w:rsidR="003021DB">
      <w:tc>
        <w:tcPr>
          <w:tcW w:w="5000" w:type="pct"/>
          <w:gridSpan w:val="2"/>
          <w:tcBorders>
            <w:top w:val="single" w:sz="2" w:space="0" w:color="auto"/>
            <w:left w:val="nil"/>
            <w:bottom w:val="nil"/>
            <w:right w:val="nil"/>
          </w:tcBorders>
          <w:tcMar>
            <w:left w:w="0" w:type="dxa"/>
            <w:right w:w="0" w:type="dxa"/>
          </w:tcMar>
        </w:tcPr>
        <w:p w:rsidR="003021DB" w:rsidRDefault="003021DB">
          <w:pPr>
            <w:pStyle w:val="FooterAgency"/>
          </w:pPr>
        </w:p>
      </w:tc>
    </w:tr>
    <w:tr w:rsidR="003021DB">
      <w:tc>
        <w:tcPr>
          <w:tcW w:w="3291" w:type="pct"/>
          <w:tcMar>
            <w:left w:w="0" w:type="dxa"/>
            <w:right w:w="0" w:type="dxa"/>
          </w:tcMar>
        </w:tcPr>
        <w:p w:rsidR="003021DB" w:rsidRDefault="003021DB">
          <w:pPr>
            <w:pStyle w:val="FooterAgency"/>
          </w:pPr>
          <w:r>
            <w:rPr>
              <w:szCs w:val="15"/>
            </w:rPr>
            <w:fldChar w:fldCharType="begin"/>
          </w:r>
          <w:r>
            <w:rPr>
              <w:szCs w:val="15"/>
            </w:rPr>
            <w:instrText xml:space="preserve"> IF </w:instrText>
          </w:r>
          <w:fldSimple w:instr=" STYLEREF  &quot;Doc title (Agency)&quot;  \* MERGEFORMAT ">
            <w:r w:rsidR="00DF40E3" w:rsidRPr="00DF40E3">
              <w:rPr>
                <w:b/>
                <w:bCs/>
                <w:noProof/>
                <w:lang w:val="en-US"/>
              </w:rPr>
              <w:instrText>Industry Stakeholder meeting/webinar on Brexit and operation of</w:instrText>
            </w:r>
            <w:r w:rsidR="00DF40E3">
              <w:rPr>
                <w:noProof/>
              </w:rPr>
              <w:instrText xml:space="preserve"> the centralised procedure for human medicinal products</w:instrText>
            </w:r>
          </w:fldSimple>
          <w:r>
            <w:rPr>
              <w:szCs w:val="15"/>
            </w:rPr>
            <w:instrText xml:space="preserve"> &lt;&gt; "Error*"</w:instrText>
          </w:r>
          <w:fldSimple w:instr=" STYLEREF  &quot;Doc title (Agency)&quot;  \* MERGEFORMAT ">
            <w:r w:rsidR="00DF40E3">
              <w:rPr>
                <w:noProof/>
              </w:rPr>
              <w:instrText>Industry Stakeholder meeting/webinar on Brexit and operation of the centralised procedure for human medicinal products</w:instrText>
            </w:r>
          </w:fldSimple>
          <w:r>
            <w:rPr>
              <w:szCs w:val="15"/>
            </w:rPr>
            <w:instrText xml:space="preserve"> \* MERGEFORMAT </w:instrText>
          </w:r>
          <w:r>
            <w:rPr>
              <w:szCs w:val="15"/>
            </w:rPr>
            <w:fldChar w:fldCharType="separate"/>
          </w:r>
          <w:r w:rsidR="00DF40E3">
            <w:rPr>
              <w:noProof/>
            </w:rPr>
            <w:t>Industry Stakeholder meeting/webinar on Brexit and operation of the centralised procedure for human medicinal products</w:t>
          </w:r>
          <w:r>
            <w:rPr>
              <w:szCs w:val="15"/>
            </w:rPr>
            <w:fldChar w:fldCharType="end"/>
          </w:r>
          <w:r>
            <w:rPr>
              <w:szCs w:val="15"/>
            </w:rPr>
            <w:t xml:space="preserve"> </w:t>
          </w:r>
        </w:p>
      </w:tc>
      <w:tc>
        <w:tcPr>
          <w:tcW w:w="1709" w:type="pct"/>
          <w:tcMar>
            <w:left w:w="0" w:type="dxa"/>
            <w:right w:w="0" w:type="dxa"/>
          </w:tcMar>
        </w:tcPr>
        <w:p w:rsidR="003021DB" w:rsidRDefault="003021DB">
          <w:pPr>
            <w:pStyle w:val="FooterAgency"/>
          </w:pPr>
        </w:p>
      </w:tc>
    </w:tr>
    <w:tr w:rsidR="003021DB">
      <w:tc>
        <w:tcPr>
          <w:tcW w:w="3291" w:type="pct"/>
          <w:tcMar>
            <w:left w:w="0" w:type="dxa"/>
            <w:right w:w="0" w:type="dxa"/>
          </w:tcMar>
        </w:tcPr>
        <w:p w:rsidR="003021DB" w:rsidRDefault="003021DB">
          <w:pPr>
            <w:pStyle w:val="FooterAgency"/>
          </w:pPr>
          <w:r>
            <w:rPr>
              <w:szCs w:val="15"/>
            </w:rPr>
            <w:fldChar w:fldCharType="begin"/>
          </w:r>
          <w:r>
            <w:rPr>
              <w:szCs w:val="15"/>
            </w:rPr>
            <w:instrText xml:space="preserve"> IF </w:instrText>
          </w:r>
          <w:r w:rsidRPr="006D0F06">
            <w:fldChar w:fldCharType="begin"/>
          </w:r>
          <w:r>
            <w:instrText xml:space="preserve"> DOCPROPERTY "DM_emea_doc_ref_id"  \* MERGEFORMAT </w:instrText>
          </w:r>
          <w:r w:rsidRPr="006D0F06">
            <w:fldChar w:fldCharType="separate"/>
          </w:r>
          <w:r w:rsidRPr="006D0F06">
            <w:rPr>
              <w:b/>
              <w:bCs/>
              <w:lang w:val="en-US"/>
            </w:rPr>
            <w:instrText>EMA/167192/2018</w:instrText>
          </w:r>
          <w:r w:rsidRPr="006D0F06">
            <w:rPr>
              <w:b/>
              <w:bCs/>
              <w:lang w:val="en-US"/>
            </w:rPr>
            <w:fldChar w:fldCharType="end"/>
          </w:r>
          <w:r>
            <w:rPr>
              <w:szCs w:val="15"/>
            </w:rPr>
            <w:instrText xml:space="preserve"> &lt;&gt; "Error*"</w:instrText>
          </w:r>
          <w:fldSimple w:instr=" DOCPROPERTY &quot;DM_emea_doc_ref_id&quot;  \* MERGEFORMAT ">
            <w:r>
              <w:instrText>EMA/167192/2018</w:instrText>
            </w:r>
          </w:fldSimple>
          <w:r>
            <w:rPr>
              <w:szCs w:val="15"/>
            </w:rPr>
            <w:instrText xml:space="preserve"> \* MERGEFORMAT </w:instrText>
          </w:r>
          <w:r>
            <w:rPr>
              <w:szCs w:val="15"/>
            </w:rPr>
            <w:fldChar w:fldCharType="separate"/>
          </w:r>
          <w:r>
            <w:rPr>
              <w:noProof/>
            </w:rPr>
            <w:t>EMA/167192/2018</w:t>
          </w:r>
          <w:r>
            <w:rPr>
              <w:szCs w:val="15"/>
            </w:rPr>
            <w:fldChar w:fldCharType="end"/>
          </w:r>
          <w:r>
            <w:rPr>
              <w:szCs w:val="15"/>
            </w:rPr>
            <w:t xml:space="preserve"> </w:t>
          </w:r>
        </w:p>
      </w:tc>
      <w:tc>
        <w:tcPr>
          <w:tcW w:w="1709" w:type="pct"/>
          <w:tcMar>
            <w:left w:w="0" w:type="dxa"/>
            <w:right w:w="0" w:type="dxa"/>
          </w:tcMar>
        </w:tcPr>
        <w:p w:rsidR="003021DB" w:rsidRDefault="003021DB">
          <w:pPr>
            <w:jc w:val="right"/>
            <w:rPr>
              <w:rStyle w:val="PageNumberAgency0"/>
            </w:rPr>
          </w:pPr>
          <w:r>
            <w:rPr>
              <w:rStyle w:val="PageNumberAgency0"/>
            </w:rPr>
            <w:t xml:space="preserve">Page </w:t>
          </w:r>
          <w:r>
            <w:rPr>
              <w:rStyle w:val="PageNumberAgency0"/>
            </w:rPr>
            <w:fldChar w:fldCharType="begin"/>
          </w:r>
          <w:r>
            <w:rPr>
              <w:rStyle w:val="PageNumberAgency0"/>
            </w:rPr>
            <w:instrText xml:space="preserve"> PAGE </w:instrText>
          </w:r>
          <w:r>
            <w:rPr>
              <w:rStyle w:val="PageNumberAgency0"/>
            </w:rPr>
            <w:fldChar w:fldCharType="separate"/>
          </w:r>
          <w:r w:rsidR="00EB7750">
            <w:rPr>
              <w:rStyle w:val="PageNumberAgency0"/>
              <w:noProof/>
            </w:rPr>
            <w:t>3</w:t>
          </w:r>
          <w:r>
            <w:rPr>
              <w:rStyle w:val="PageNumberAgency0"/>
            </w:rPr>
            <w:fldChar w:fldCharType="end"/>
          </w:r>
          <w:r>
            <w:rPr>
              <w:rStyle w:val="PageNumberAgency0"/>
            </w:rPr>
            <w:t>/</w:t>
          </w:r>
          <w:r>
            <w:rPr>
              <w:rStyle w:val="PageNumberAgency0"/>
            </w:rPr>
            <w:fldChar w:fldCharType="begin"/>
          </w:r>
          <w:r>
            <w:rPr>
              <w:rStyle w:val="PageNumberAgency0"/>
            </w:rPr>
            <w:instrText xml:space="preserve"> NUMPAGES </w:instrText>
          </w:r>
          <w:r>
            <w:rPr>
              <w:rStyle w:val="PageNumberAgency0"/>
            </w:rPr>
            <w:fldChar w:fldCharType="separate"/>
          </w:r>
          <w:r w:rsidR="00EB7750">
            <w:rPr>
              <w:rStyle w:val="PageNumberAgency0"/>
              <w:noProof/>
            </w:rPr>
            <w:t>6</w:t>
          </w:r>
          <w:r>
            <w:rPr>
              <w:rStyle w:val="PageNumberAgency0"/>
            </w:rPr>
            <w:fldChar w:fldCharType="end"/>
          </w:r>
        </w:p>
      </w:tc>
    </w:tr>
  </w:tbl>
  <w:p w:rsidR="003021DB" w:rsidRDefault="003021DB">
    <w:pPr>
      <w:pStyle w:val="NormalAgency"/>
    </w:pPr>
  </w:p>
  <w:p w:rsidR="003021DB" w:rsidRDefault="003021DB" w:rsidP="00377DCF">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9458"/>
      <w:gridCol w:w="4887"/>
    </w:tblGrid>
    <w:tr w:rsidR="003021DB">
      <w:tc>
        <w:tcPr>
          <w:tcW w:w="9413" w:type="dxa"/>
          <w:gridSpan w:val="2"/>
          <w:tcBorders>
            <w:top w:val="single" w:sz="2" w:space="0" w:color="auto"/>
            <w:left w:val="nil"/>
            <w:bottom w:val="nil"/>
            <w:right w:val="nil"/>
          </w:tcBorders>
          <w:tcMar>
            <w:left w:w="0" w:type="dxa"/>
            <w:right w:w="0" w:type="dxa"/>
          </w:tcMar>
          <w:vAlign w:val="bottom"/>
        </w:tcPr>
        <w:p w:rsidR="003021DB" w:rsidRPr="00D56437" w:rsidRDefault="003021DB">
          <w:pPr>
            <w:rPr>
              <w:rFonts w:ascii="Verdana" w:eastAsia="Verdana" w:hAnsi="Verdana"/>
              <w:color w:val="6D6F71"/>
              <w:sz w:val="14"/>
              <w:szCs w:val="14"/>
              <w:lang w:eastAsia="en-GB"/>
            </w:rPr>
          </w:pPr>
        </w:p>
      </w:tc>
    </w:tr>
    <w:tr w:rsidR="003021DB">
      <w:trPr>
        <w:cantSplit/>
        <w:trHeight w:hRule="exact" w:val="198"/>
      </w:trPr>
      <w:tc>
        <w:tcPr>
          <w:tcW w:w="6206" w:type="dxa"/>
          <w:tcMar>
            <w:left w:w="0" w:type="dxa"/>
            <w:right w:w="0" w:type="dxa"/>
          </w:tcMar>
          <w:vAlign w:val="bottom"/>
        </w:tcPr>
        <w:p w:rsidR="003021DB" w:rsidRPr="00D56437" w:rsidRDefault="003021DB">
          <w:pPr>
            <w:rPr>
              <w:rFonts w:ascii="Verdana" w:eastAsia="Verdana" w:hAnsi="Verdana"/>
              <w:color w:val="6D6F71"/>
              <w:sz w:val="14"/>
              <w:szCs w:val="14"/>
              <w:lang w:eastAsia="en-GB"/>
            </w:rPr>
          </w:pPr>
          <w:r w:rsidRPr="00D56437">
            <w:rPr>
              <w:rFonts w:ascii="Verdana" w:eastAsia="Verdana" w:hAnsi="Verdana"/>
              <w:color w:val="6D6F71"/>
              <w:sz w:val="14"/>
              <w:szCs w:val="14"/>
              <w:lang w:eastAsia="en-GB"/>
            </w:rPr>
            <w:t xml:space="preserve">30 Churchill Place </w:t>
          </w:r>
          <w:r w:rsidRPr="00D56437">
            <w:rPr>
              <w:rFonts w:ascii="Verdana" w:eastAsia="Verdana" w:hAnsi="Verdana"/>
              <w:b/>
              <w:color w:val="003399"/>
              <w:sz w:val="13"/>
              <w:szCs w:val="14"/>
              <w:lang w:eastAsia="en-GB"/>
            </w:rPr>
            <w:t>●</w:t>
          </w:r>
          <w:r w:rsidRPr="00D56437">
            <w:rPr>
              <w:rFonts w:ascii="Verdana" w:eastAsia="Verdana" w:hAnsi="Verdana"/>
              <w:color w:val="6D6F71"/>
              <w:sz w:val="14"/>
              <w:szCs w:val="14"/>
              <w:lang w:eastAsia="en-GB"/>
            </w:rPr>
            <w:t xml:space="preserve"> Canary Wharf </w:t>
          </w:r>
          <w:r w:rsidRPr="00D56437">
            <w:rPr>
              <w:rFonts w:ascii="Verdana" w:eastAsia="Verdana" w:hAnsi="Verdana"/>
              <w:b/>
              <w:color w:val="003399"/>
              <w:sz w:val="13"/>
              <w:szCs w:val="14"/>
              <w:lang w:eastAsia="en-GB"/>
            </w:rPr>
            <w:t>●</w:t>
          </w:r>
          <w:r w:rsidRPr="00D56437">
            <w:rPr>
              <w:rFonts w:ascii="Verdana" w:eastAsia="Verdana" w:hAnsi="Verdana"/>
              <w:color w:val="6D6F71"/>
              <w:sz w:val="14"/>
              <w:szCs w:val="14"/>
              <w:lang w:eastAsia="en-GB"/>
            </w:rPr>
            <w:t xml:space="preserve"> London E14 5EU </w:t>
          </w:r>
          <w:r w:rsidRPr="00D56437">
            <w:rPr>
              <w:rFonts w:ascii="Verdana" w:eastAsia="Verdana" w:hAnsi="Verdana"/>
              <w:b/>
              <w:color w:val="003399"/>
              <w:sz w:val="13"/>
              <w:szCs w:val="14"/>
              <w:lang w:eastAsia="en-GB"/>
            </w:rPr>
            <w:t>●</w:t>
          </w:r>
          <w:r w:rsidRPr="00D56437">
            <w:rPr>
              <w:rFonts w:ascii="Verdana" w:eastAsia="Verdana" w:hAnsi="Verdana"/>
              <w:color w:val="6D6F71"/>
              <w:sz w:val="14"/>
              <w:szCs w:val="14"/>
              <w:lang w:eastAsia="en-GB"/>
            </w:rPr>
            <w:t xml:space="preserve"> United Kingdom</w:t>
          </w:r>
        </w:p>
      </w:tc>
      <w:tc>
        <w:tcPr>
          <w:tcW w:w="3207" w:type="dxa"/>
          <w:vMerge w:val="restart"/>
          <w:tcMar>
            <w:left w:w="0" w:type="dxa"/>
            <w:right w:w="0" w:type="dxa"/>
          </w:tcMar>
          <w:vAlign w:val="bottom"/>
        </w:tcPr>
        <w:tbl>
          <w:tblPr>
            <w:tblW w:w="3273" w:type="dxa"/>
            <w:jc w:val="right"/>
            <w:tblLayout w:type="fixed"/>
            <w:tblLook w:val="01E0" w:firstRow="1" w:lastRow="1" w:firstColumn="1" w:lastColumn="1" w:noHBand="0" w:noVBand="0"/>
          </w:tblPr>
          <w:tblGrid>
            <w:gridCol w:w="2564"/>
            <w:gridCol w:w="709"/>
          </w:tblGrid>
          <w:tr w:rsidR="003021DB">
            <w:trPr>
              <w:cantSplit/>
              <w:trHeight w:val="180"/>
              <w:tblHeader/>
              <w:jc w:val="right"/>
            </w:trPr>
            <w:tc>
              <w:tcPr>
                <w:tcW w:w="2564" w:type="dxa"/>
                <w:vMerge w:val="restart"/>
                <w:tcBorders>
                  <w:top w:val="nil"/>
                  <w:left w:val="nil"/>
                  <w:bottom w:val="nil"/>
                  <w:right w:val="nil"/>
                </w:tcBorders>
                <w:vAlign w:val="bottom"/>
              </w:tcPr>
              <w:p w:rsidR="003021DB" w:rsidRPr="00D56437" w:rsidRDefault="003021DB">
                <w:pPr>
                  <w:ind w:right="-52"/>
                  <w:jc w:val="right"/>
                  <w:rPr>
                    <w:rFonts w:ascii="Verdana" w:eastAsia="Verdana" w:hAnsi="Verdana"/>
                    <w:color w:val="6D6F71"/>
                    <w:sz w:val="14"/>
                    <w:szCs w:val="14"/>
                    <w:lang w:eastAsia="en-GB"/>
                  </w:rPr>
                </w:pPr>
                <w:r w:rsidRPr="00D56437">
                  <w:rPr>
                    <w:rFonts w:ascii="Verdana" w:eastAsia="Verdana" w:hAnsi="Verdana"/>
                    <w:color w:val="6D6F71"/>
                    <w:sz w:val="11"/>
                    <w:szCs w:val="11"/>
                    <w:lang w:eastAsia="en-GB"/>
                  </w:rPr>
                  <w:t xml:space="preserve">  An agency of the European Union   </w:t>
                </w:r>
              </w:p>
            </w:tc>
            <w:tc>
              <w:tcPr>
                <w:tcW w:w="709" w:type="dxa"/>
                <w:vMerge w:val="restart"/>
                <w:tcBorders>
                  <w:top w:val="nil"/>
                  <w:left w:val="nil"/>
                  <w:bottom w:val="nil"/>
                  <w:right w:val="nil"/>
                </w:tcBorders>
                <w:tcMar>
                  <w:right w:w="6" w:type="dxa"/>
                </w:tcMar>
                <w:vAlign w:val="bottom"/>
              </w:tcPr>
              <w:p w:rsidR="003021DB" w:rsidRPr="00D56437" w:rsidRDefault="003021DB">
                <w:pPr>
                  <w:jc w:val="right"/>
                  <w:rPr>
                    <w:rFonts w:ascii="Verdana" w:eastAsia="Verdana" w:hAnsi="Verdana"/>
                    <w:color w:val="6D6F71"/>
                    <w:sz w:val="14"/>
                    <w:szCs w:val="14"/>
                    <w:lang w:eastAsia="en-GB"/>
                  </w:rPr>
                </w:pPr>
                <w:r w:rsidRPr="00D56437">
                  <w:rPr>
                    <w:rFonts w:ascii="Verdana" w:eastAsia="Verdana" w:hAnsi="Verdana"/>
                    <w:noProof/>
                    <w:color w:val="6D6F71"/>
                    <w:sz w:val="14"/>
                    <w:szCs w:val="14"/>
                    <w:lang w:val="nl-NL" w:eastAsia="nl-NL"/>
                  </w:rPr>
                  <w:drawing>
                    <wp:inline distT="0" distB="0" distL="0" distR="0">
                      <wp:extent cx="393700" cy="266065"/>
                      <wp:effectExtent l="0" t="0" r="6350" b="635"/>
                      <wp:docPr id="4" name="Picture 4" descr="EU Logo"/>
                      <wp:cNvGraphicFramePr/>
                      <a:graphic xmlns:a="http://schemas.openxmlformats.org/drawingml/2006/main">
                        <a:graphicData uri="http://schemas.openxmlformats.org/drawingml/2006/picture">
                          <pic:pic xmlns:pic="http://schemas.openxmlformats.org/drawingml/2006/picture">
                            <pic:nvPicPr>
                              <pic:cNvPr id="1414263231" name="Picture 1" descr="EU Logo"/>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3700" cy="266065"/>
                              </a:xfrm>
                              <a:prstGeom prst="rect">
                                <a:avLst/>
                              </a:prstGeom>
                              <a:noFill/>
                              <a:ln>
                                <a:noFill/>
                              </a:ln>
                            </pic:spPr>
                          </pic:pic>
                        </a:graphicData>
                      </a:graphic>
                    </wp:inline>
                  </w:drawing>
                </w:r>
              </w:p>
            </w:tc>
          </w:tr>
          <w:tr w:rsidR="003021DB">
            <w:trPr>
              <w:cantSplit/>
              <w:trHeight w:val="390"/>
              <w:jc w:val="right"/>
            </w:trPr>
            <w:tc>
              <w:tcPr>
                <w:tcW w:w="2564" w:type="dxa"/>
                <w:vMerge/>
              </w:tcPr>
              <w:p w:rsidR="003021DB" w:rsidRPr="00D56437" w:rsidRDefault="003021DB">
                <w:pPr>
                  <w:rPr>
                    <w:rFonts w:ascii="Verdana" w:eastAsia="Verdana" w:hAnsi="Verdana"/>
                    <w:color w:val="6D6F71"/>
                    <w:sz w:val="14"/>
                    <w:szCs w:val="14"/>
                    <w:lang w:eastAsia="en-GB"/>
                  </w:rPr>
                </w:pPr>
              </w:p>
            </w:tc>
            <w:tc>
              <w:tcPr>
                <w:tcW w:w="709" w:type="dxa"/>
                <w:vMerge/>
              </w:tcPr>
              <w:p w:rsidR="003021DB" w:rsidRPr="00D56437" w:rsidRDefault="003021DB">
                <w:pPr>
                  <w:rPr>
                    <w:rFonts w:ascii="Verdana" w:eastAsia="Verdana" w:hAnsi="Verdana"/>
                    <w:color w:val="6D6F71"/>
                    <w:sz w:val="14"/>
                    <w:szCs w:val="14"/>
                    <w:lang w:eastAsia="en-GB"/>
                  </w:rPr>
                </w:pPr>
              </w:p>
            </w:tc>
          </w:tr>
        </w:tbl>
        <w:p w:rsidR="003021DB" w:rsidRPr="00D56437" w:rsidRDefault="003021DB">
          <w:pPr>
            <w:widowControl w:val="0"/>
            <w:adjustRightInd w:val="0"/>
            <w:jc w:val="right"/>
            <w:rPr>
              <w:rFonts w:ascii="Verdana" w:eastAsia="Verdana" w:hAnsi="Verdana"/>
              <w:color w:val="6D6F71"/>
              <w:sz w:val="14"/>
              <w:szCs w:val="14"/>
              <w:lang w:eastAsia="en-GB"/>
            </w:rPr>
          </w:pPr>
        </w:p>
      </w:tc>
    </w:tr>
    <w:tr w:rsidR="003021DB">
      <w:trPr>
        <w:cantSplit/>
        <w:trHeight w:val="390"/>
      </w:trPr>
      <w:tc>
        <w:tcPr>
          <w:tcW w:w="6206" w:type="dxa"/>
          <w:tcMar>
            <w:left w:w="0" w:type="dxa"/>
            <w:right w:w="0" w:type="dxa"/>
          </w:tcMar>
          <w:vAlign w:val="bottom"/>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3021DB">
            <w:trPr>
              <w:trHeight w:hRule="exact" w:val="198"/>
            </w:trPr>
            <w:tc>
              <w:tcPr>
                <w:tcW w:w="840" w:type="dxa"/>
                <w:vAlign w:val="bottom"/>
              </w:tcPr>
              <w:p w:rsidR="003021DB" w:rsidRPr="00D56437" w:rsidRDefault="003021DB">
                <w:pPr>
                  <w:rPr>
                    <w:rFonts w:ascii="Verdana" w:eastAsia="Verdana" w:hAnsi="Verdana"/>
                    <w:b/>
                    <w:color w:val="003399"/>
                    <w:sz w:val="13"/>
                    <w:szCs w:val="14"/>
                    <w:lang w:eastAsia="en-GB"/>
                  </w:rPr>
                </w:pPr>
                <w:r w:rsidRPr="00D56437">
                  <w:rPr>
                    <w:rFonts w:ascii="Verdana" w:eastAsia="Verdana" w:hAnsi="Verdana"/>
                    <w:b/>
                    <w:color w:val="003399"/>
                    <w:sz w:val="13"/>
                    <w:szCs w:val="14"/>
                    <w:lang w:eastAsia="en-GB"/>
                  </w:rPr>
                  <w:t>Telephone</w:t>
                </w:r>
              </w:p>
            </w:tc>
            <w:tc>
              <w:tcPr>
                <w:tcW w:w="1648" w:type="dxa"/>
                <w:vAlign w:val="bottom"/>
              </w:tcPr>
              <w:p w:rsidR="003021DB" w:rsidRPr="00D56437" w:rsidRDefault="003021DB">
                <w:pPr>
                  <w:rPr>
                    <w:rFonts w:ascii="Verdana" w:eastAsia="Verdana" w:hAnsi="Verdana"/>
                    <w:color w:val="6D6F71"/>
                    <w:sz w:val="14"/>
                    <w:szCs w:val="14"/>
                    <w:lang w:eastAsia="en-GB"/>
                  </w:rPr>
                </w:pPr>
                <w:r w:rsidRPr="00D56437">
                  <w:rPr>
                    <w:rFonts w:ascii="Verdana" w:eastAsia="Verdana" w:hAnsi="Verdana"/>
                    <w:color w:val="6D6F71"/>
                    <w:sz w:val="14"/>
                    <w:szCs w:val="14"/>
                    <w:lang w:eastAsia="en-GB"/>
                  </w:rPr>
                  <w:t>+44 (0)20 3660 6000</w:t>
                </w:r>
              </w:p>
            </w:tc>
            <w:tc>
              <w:tcPr>
                <w:tcW w:w="726" w:type="dxa"/>
                <w:vAlign w:val="bottom"/>
              </w:tcPr>
              <w:p w:rsidR="003021DB" w:rsidRPr="00D56437" w:rsidRDefault="003021DB">
                <w:pPr>
                  <w:rPr>
                    <w:rFonts w:ascii="Verdana" w:eastAsia="Verdana" w:hAnsi="Verdana"/>
                    <w:b/>
                    <w:color w:val="003399"/>
                    <w:sz w:val="13"/>
                    <w:szCs w:val="14"/>
                    <w:lang w:eastAsia="en-GB"/>
                  </w:rPr>
                </w:pPr>
                <w:r w:rsidRPr="00D56437">
                  <w:rPr>
                    <w:rFonts w:ascii="Verdana" w:eastAsia="Verdana" w:hAnsi="Verdana"/>
                    <w:b/>
                    <w:color w:val="003399"/>
                    <w:sz w:val="13"/>
                    <w:szCs w:val="14"/>
                    <w:lang w:eastAsia="en-GB"/>
                  </w:rPr>
                  <w:t>Facsimile</w:t>
                </w:r>
              </w:p>
            </w:tc>
            <w:tc>
              <w:tcPr>
                <w:tcW w:w="2767" w:type="dxa"/>
                <w:vAlign w:val="bottom"/>
              </w:tcPr>
              <w:p w:rsidR="003021DB" w:rsidRPr="00D56437" w:rsidRDefault="003021DB">
                <w:pPr>
                  <w:rPr>
                    <w:rFonts w:ascii="Verdana" w:eastAsia="Verdana" w:hAnsi="Verdana"/>
                    <w:color w:val="6D6F71"/>
                    <w:sz w:val="14"/>
                    <w:szCs w:val="14"/>
                    <w:lang w:eastAsia="en-GB"/>
                  </w:rPr>
                </w:pPr>
                <w:r w:rsidRPr="00D56437">
                  <w:rPr>
                    <w:rFonts w:ascii="Verdana" w:eastAsia="Verdana" w:hAnsi="Verdana"/>
                    <w:color w:val="6D6F71"/>
                    <w:sz w:val="14"/>
                    <w:szCs w:val="14"/>
                    <w:lang w:eastAsia="en-GB"/>
                  </w:rPr>
                  <w:t>+44 (0)20 3660 5555</w:t>
                </w:r>
              </w:p>
            </w:tc>
          </w:tr>
          <w:tr w:rsidR="003021DB">
            <w:trPr>
              <w:trHeight w:hRule="exact" w:val="198"/>
            </w:trPr>
            <w:tc>
              <w:tcPr>
                <w:tcW w:w="5981" w:type="dxa"/>
                <w:gridSpan w:val="4"/>
                <w:vAlign w:val="bottom"/>
              </w:tcPr>
              <w:p w:rsidR="003021DB" w:rsidRPr="00D56437" w:rsidRDefault="003021DB">
                <w:pPr>
                  <w:rPr>
                    <w:rFonts w:ascii="Verdana" w:eastAsia="Verdana" w:hAnsi="Verdana"/>
                    <w:color w:val="6D6F71"/>
                    <w:sz w:val="14"/>
                    <w:szCs w:val="14"/>
                    <w:lang w:eastAsia="en-GB"/>
                  </w:rPr>
                </w:pPr>
                <w:r w:rsidRPr="00D56437">
                  <w:rPr>
                    <w:rFonts w:ascii="Verdana" w:eastAsia="Verdana" w:hAnsi="Verdana"/>
                    <w:b/>
                    <w:color w:val="003399"/>
                    <w:sz w:val="13"/>
                    <w:szCs w:val="14"/>
                    <w:lang w:eastAsia="en-GB"/>
                  </w:rPr>
                  <w:t>Send a question via our website</w:t>
                </w:r>
                <w:r w:rsidRPr="00D56437">
                  <w:rPr>
                    <w:rFonts w:ascii="Verdana" w:eastAsia="Verdana" w:hAnsi="Verdana"/>
                    <w:color w:val="6D6F71"/>
                    <w:sz w:val="14"/>
                    <w:szCs w:val="14"/>
                    <w:lang w:eastAsia="en-GB"/>
                  </w:rPr>
                  <w:t xml:space="preserve"> </w:t>
                </w:r>
                <w:hyperlink r:id="rId2" w:history="1">
                  <w:r w:rsidRPr="00D56437">
                    <w:rPr>
                      <w:rFonts w:ascii="Verdana" w:eastAsia="Verdana" w:hAnsi="Verdana"/>
                      <w:color w:val="0000FF"/>
                      <w:sz w:val="14"/>
                      <w:szCs w:val="14"/>
                      <w:u w:val="single"/>
                      <w:lang w:eastAsia="en-GB"/>
                    </w:rPr>
                    <w:t>www.ema.europa.eu/contact</w:t>
                  </w:r>
                </w:hyperlink>
                <w:r w:rsidRPr="00D56437">
                  <w:rPr>
                    <w:rFonts w:ascii="Verdana" w:eastAsia="Verdana" w:hAnsi="Verdana"/>
                    <w:color w:val="6D6F71"/>
                    <w:sz w:val="14"/>
                    <w:szCs w:val="14"/>
                    <w:lang w:eastAsia="en-GB"/>
                  </w:rPr>
                  <w:t xml:space="preserve">                                         </w:t>
                </w:r>
              </w:p>
            </w:tc>
          </w:tr>
        </w:tbl>
        <w:p w:rsidR="003021DB" w:rsidRPr="00D56437" w:rsidRDefault="003021DB">
          <w:pPr>
            <w:rPr>
              <w:rFonts w:ascii="Verdana" w:eastAsia="Verdana" w:hAnsi="Verdana"/>
              <w:color w:val="6D6F71"/>
              <w:sz w:val="14"/>
              <w:szCs w:val="14"/>
              <w:lang w:eastAsia="en-GB"/>
            </w:rPr>
          </w:pPr>
        </w:p>
      </w:tc>
      <w:tc>
        <w:tcPr>
          <w:tcW w:w="3207" w:type="dxa"/>
          <w:vMerge/>
          <w:tcMar>
            <w:left w:w="0" w:type="dxa"/>
            <w:right w:w="0" w:type="dxa"/>
          </w:tcMar>
          <w:vAlign w:val="bottom"/>
        </w:tcPr>
        <w:p w:rsidR="003021DB" w:rsidRPr="00D56437" w:rsidRDefault="003021DB">
          <w:pPr>
            <w:rPr>
              <w:rFonts w:ascii="Verdana" w:eastAsia="Verdana" w:hAnsi="Verdana"/>
              <w:color w:val="6D6F71"/>
              <w:sz w:val="14"/>
              <w:szCs w:val="14"/>
              <w:lang w:eastAsia="en-GB"/>
            </w:rPr>
          </w:pPr>
        </w:p>
      </w:tc>
    </w:tr>
    <w:tr w:rsidR="003021DB">
      <w:tc>
        <w:tcPr>
          <w:tcW w:w="9413" w:type="dxa"/>
          <w:gridSpan w:val="2"/>
          <w:tcMar>
            <w:left w:w="0" w:type="dxa"/>
            <w:right w:w="0" w:type="dxa"/>
          </w:tcMar>
          <w:vAlign w:val="bottom"/>
        </w:tcPr>
        <w:p w:rsidR="003021DB" w:rsidRPr="00D56437" w:rsidRDefault="003021DB">
          <w:pPr>
            <w:rPr>
              <w:rFonts w:ascii="Verdana" w:eastAsia="Verdana" w:hAnsi="Verdana"/>
              <w:color w:val="6D6F71"/>
              <w:sz w:val="14"/>
              <w:szCs w:val="14"/>
              <w:lang w:eastAsia="en-GB"/>
            </w:rPr>
          </w:pPr>
        </w:p>
      </w:tc>
    </w:tr>
    <w:tr w:rsidR="003021DB">
      <w:tc>
        <w:tcPr>
          <w:tcW w:w="9413" w:type="dxa"/>
          <w:gridSpan w:val="2"/>
          <w:tcMar>
            <w:left w:w="0" w:type="dxa"/>
            <w:right w:w="0" w:type="dxa"/>
          </w:tcMar>
          <w:vAlign w:val="bottom"/>
        </w:tcPr>
        <w:p w:rsidR="003021DB" w:rsidRPr="00D56437" w:rsidRDefault="003021DB">
          <w:pPr>
            <w:jc w:val="center"/>
            <w:rPr>
              <w:rFonts w:ascii="Verdana" w:eastAsia="Verdana" w:hAnsi="Verdana"/>
              <w:color w:val="6D6F71"/>
              <w:sz w:val="14"/>
              <w:szCs w:val="14"/>
              <w:lang w:eastAsia="en-GB"/>
            </w:rPr>
          </w:pPr>
          <w:r w:rsidRPr="00D56437">
            <w:rPr>
              <w:rFonts w:ascii="Verdana" w:eastAsia="Verdana" w:hAnsi="Verdana"/>
              <w:color w:val="6D6F71"/>
              <w:sz w:val="14"/>
              <w:szCs w:val="14"/>
              <w:lang w:eastAsia="en-GB"/>
            </w:rPr>
            <w:t xml:space="preserve">© European Medicines Agency, </w:t>
          </w:r>
          <w:r w:rsidRPr="00D56437">
            <w:rPr>
              <w:rFonts w:ascii="Verdana" w:eastAsia="Verdana" w:hAnsi="Verdana"/>
              <w:color w:val="6D6F71"/>
              <w:sz w:val="14"/>
              <w:szCs w:val="14"/>
              <w:lang w:eastAsia="en-GB"/>
            </w:rPr>
            <w:fldChar w:fldCharType="begin"/>
          </w:r>
          <w:r w:rsidRPr="00D56437">
            <w:rPr>
              <w:rFonts w:ascii="Verdana" w:eastAsia="Verdana" w:hAnsi="Verdana"/>
              <w:color w:val="6D6F71"/>
              <w:sz w:val="14"/>
              <w:szCs w:val="14"/>
              <w:lang w:eastAsia="en-GB"/>
            </w:rPr>
            <w:instrText xml:space="preserve"> DATE  \@ "yyyy"  \* MERGEFORMAT </w:instrText>
          </w:r>
          <w:r w:rsidRPr="00D56437">
            <w:rPr>
              <w:rFonts w:ascii="Verdana" w:eastAsia="Verdana" w:hAnsi="Verdana"/>
              <w:color w:val="6D6F71"/>
              <w:sz w:val="14"/>
              <w:szCs w:val="14"/>
              <w:lang w:eastAsia="en-GB"/>
            </w:rPr>
            <w:fldChar w:fldCharType="separate"/>
          </w:r>
          <w:r w:rsidR="00DF40E3">
            <w:rPr>
              <w:rFonts w:ascii="Verdana" w:eastAsia="Verdana" w:hAnsi="Verdana"/>
              <w:noProof/>
              <w:color w:val="6D6F71"/>
              <w:sz w:val="14"/>
              <w:szCs w:val="14"/>
              <w:lang w:eastAsia="en-GB"/>
            </w:rPr>
            <w:t>2018</w:t>
          </w:r>
          <w:r w:rsidRPr="00D56437">
            <w:rPr>
              <w:rFonts w:ascii="Verdana" w:eastAsia="Verdana" w:hAnsi="Verdana"/>
              <w:color w:val="6D6F71"/>
              <w:sz w:val="14"/>
              <w:szCs w:val="14"/>
              <w:lang w:eastAsia="en-GB"/>
            </w:rPr>
            <w:fldChar w:fldCharType="end"/>
          </w:r>
          <w:r w:rsidRPr="00D56437">
            <w:rPr>
              <w:rFonts w:ascii="Verdana" w:eastAsia="Verdana" w:hAnsi="Verdana"/>
              <w:color w:val="6D6F71"/>
              <w:sz w:val="14"/>
              <w:szCs w:val="14"/>
              <w:lang w:eastAsia="en-GB"/>
            </w:rPr>
            <w:t>. Reproduction is authorised provided the source is acknowledged.</w:t>
          </w:r>
        </w:p>
      </w:tc>
    </w:tr>
  </w:tbl>
  <w:p w:rsidR="003021DB" w:rsidRPr="00D56437" w:rsidRDefault="003021DB" w:rsidP="00D56437">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064" w:rsidRDefault="00C34064">
      <w:r>
        <w:separator/>
      </w:r>
    </w:p>
  </w:footnote>
  <w:footnote w:type="continuationSeparator" w:id="0">
    <w:p w:rsidR="00C34064" w:rsidRDefault="00C3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1DB" w:rsidRDefault="003021DB" w:rsidP="00D56437">
    <w:pPr>
      <w:pStyle w:val="FooterAgency"/>
      <w:jc w:val="center"/>
    </w:pPr>
    <w:r>
      <w:rPr>
        <w:noProof/>
        <w:lang w:val="nl-NL" w:eastAsia="nl-NL"/>
      </w:rPr>
      <w:drawing>
        <wp:inline distT="0" distB="0" distL="0" distR="0">
          <wp:extent cx="3558600" cy="17964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958245118" name=""/>
                  <pic:cNvPicPr/>
                </pic:nvPicPr>
                <pic:blipFill>
                  <a:blip r:embed="rId1"/>
                  <a:stretch>
                    <a:fillRect/>
                  </a:stretch>
                </pic:blipFill>
                <pic:spPr>
                  <a:xfrm>
                    <a:off x="0" y="0"/>
                    <a:ext cx="3558600" cy="179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9C0F3D"/>
    <w:multiLevelType w:val="hybridMultilevel"/>
    <w:tmpl w:val="17D243D4"/>
    <w:lvl w:ilvl="0" w:tplc="8920361C">
      <w:start w:val="1"/>
      <w:numFmt w:val="decimal"/>
      <w:lvlText w:val="%1."/>
      <w:lvlJc w:val="left"/>
      <w:pPr>
        <w:ind w:left="360" w:hanging="360"/>
      </w:pPr>
      <w:rPr>
        <w:rFonts w:hint="default"/>
      </w:rPr>
    </w:lvl>
    <w:lvl w:ilvl="1" w:tplc="5CBC3068" w:tentative="1">
      <w:start w:val="1"/>
      <w:numFmt w:val="lowerLetter"/>
      <w:lvlText w:val="%2."/>
      <w:lvlJc w:val="left"/>
      <w:pPr>
        <w:ind w:left="1080" w:hanging="360"/>
      </w:pPr>
    </w:lvl>
    <w:lvl w:ilvl="2" w:tplc="8DCE9D3C" w:tentative="1">
      <w:start w:val="1"/>
      <w:numFmt w:val="lowerRoman"/>
      <w:lvlText w:val="%3."/>
      <w:lvlJc w:val="right"/>
      <w:pPr>
        <w:ind w:left="1800" w:hanging="180"/>
      </w:pPr>
    </w:lvl>
    <w:lvl w:ilvl="3" w:tplc="8CD89D98" w:tentative="1">
      <w:start w:val="1"/>
      <w:numFmt w:val="decimal"/>
      <w:lvlText w:val="%4."/>
      <w:lvlJc w:val="left"/>
      <w:pPr>
        <w:ind w:left="2520" w:hanging="360"/>
      </w:pPr>
    </w:lvl>
    <w:lvl w:ilvl="4" w:tplc="6570F7AC" w:tentative="1">
      <w:start w:val="1"/>
      <w:numFmt w:val="lowerLetter"/>
      <w:lvlText w:val="%5."/>
      <w:lvlJc w:val="left"/>
      <w:pPr>
        <w:ind w:left="3240" w:hanging="360"/>
      </w:pPr>
    </w:lvl>
    <w:lvl w:ilvl="5" w:tplc="2AE01D88" w:tentative="1">
      <w:start w:val="1"/>
      <w:numFmt w:val="lowerRoman"/>
      <w:lvlText w:val="%6."/>
      <w:lvlJc w:val="right"/>
      <w:pPr>
        <w:ind w:left="3960" w:hanging="180"/>
      </w:pPr>
    </w:lvl>
    <w:lvl w:ilvl="6" w:tplc="657A8A0C" w:tentative="1">
      <w:start w:val="1"/>
      <w:numFmt w:val="decimal"/>
      <w:lvlText w:val="%7."/>
      <w:lvlJc w:val="left"/>
      <w:pPr>
        <w:ind w:left="4680" w:hanging="360"/>
      </w:pPr>
    </w:lvl>
    <w:lvl w:ilvl="7" w:tplc="66A090FA" w:tentative="1">
      <w:start w:val="1"/>
      <w:numFmt w:val="lowerLetter"/>
      <w:lvlText w:val="%8."/>
      <w:lvlJc w:val="left"/>
      <w:pPr>
        <w:ind w:left="5400" w:hanging="360"/>
      </w:pPr>
    </w:lvl>
    <w:lvl w:ilvl="8" w:tplc="6A0237F6" w:tentative="1">
      <w:start w:val="1"/>
      <w:numFmt w:val="lowerRoman"/>
      <w:lvlText w:val="%9."/>
      <w:lvlJc w:val="right"/>
      <w:pPr>
        <w:ind w:left="6120" w:hanging="180"/>
      </w:pPr>
    </w:lvl>
  </w:abstractNum>
  <w:abstractNum w:abstractNumId="5" w15:restartNumberingAfterBreak="0">
    <w:nsid w:val="14C4583D"/>
    <w:multiLevelType w:val="hybridMultilevel"/>
    <w:tmpl w:val="C62E5124"/>
    <w:lvl w:ilvl="0" w:tplc="22CC49D0">
      <w:start w:val="1"/>
      <w:numFmt w:val="bullet"/>
      <w:lvlText w:val=""/>
      <w:lvlJc w:val="left"/>
      <w:pPr>
        <w:ind w:left="720" w:hanging="360"/>
      </w:pPr>
      <w:rPr>
        <w:rFonts w:ascii="Symbol" w:hAnsi="Symbol" w:hint="default"/>
      </w:rPr>
    </w:lvl>
    <w:lvl w:ilvl="1" w:tplc="FE3867AA" w:tentative="1">
      <w:start w:val="1"/>
      <w:numFmt w:val="bullet"/>
      <w:lvlText w:val="o"/>
      <w:lvlJc w:val="left"/>
      <w:pPr>
        <w:ind w:left="1440" w:hanging="360"/>
      </w:pPr>
      <w:rPr>
        <w:rFonts w:ascii="Courier New" w:hAnsi="Courier New" w:cs="Courier New" w:hint="default"/>
      </w:rPr>
    </w:lvl>
    <w:lvl w:ilvl="2" w:tplc="6CF43B78" w:tentative="1">
      <w:start w:val="1"/>
      <w:numFmt w:val="bullet"/>
      <w:lvlText w:val=""/>
      <w:lvlJc w:val="left"/>
      <w:pPr>
        <w:ind w:left="2160" w:hanging="360"/>
      </w:pPr>
      <w:rPr>
        <w:rFonts w:ascii="Wingdings" w:hAnsi="Wingdings" w:hint="default"/>
      </w:rPr>
    </w:lvl>
    <w:lvl w:ilvl="3" w:tplc="CD061E7E" w:tentative="1">
      <w:start w:val="1"/>
      <w:numFmt w:val="bullet"/>
      <w:lvlText w:val=""/>
      <w:lvlJc w:val="left"/>
      <w:pPr>
        <w:ind w:left="2880" w:hanging="360"/>
      </w:pPr>
      <w:rPr>
        <w:rFonts w:ascii="Symbol" w:hAnsi="Symbol" w:hint="default"/>
      </w:rPr>
    </w:lvl>
    <w:lvl w:ilvl="4" w:tplc="48F66CCC" w:tentative="1">
      <w:start w:val="1"/>
      <w:numFmt w:val="bullet"/>
      <w:lvlText w:val="o"/>
      <w:lvlJc w:val="left"/>
      <w:pPr>
        <w:ind w:left="3600" w:hanging="360"/>
      </w:pPr>
      <w:rPr>
        <w:rFonts w:ascii="Courier New" w:hAnsi="Courier New" w:cs="Courier New" w:hint="default"/>
      </w:rPr>
    </w:lvl>
    <w:lvl w:ilvl="5" w:tplc="27AA2806" w:tentative="1">
      <w:start w:val="1"/>
      <w:numFmt w:val="bullet"/>
      <w:lvlText w:val=""/>
      <w:lvlJc w:val="left"/>
      <w:pPr>
        <w:ind w:left="4320" w:hanging="360"/>
      </w:pPr>
      <w:rPr>
        <w:rFonts w:ascii="Wingdings" w:hAnsi="Wingdings" w:hint="default"/>
      </w:rPr>
    </w:lvl>
    <w:lvl w:ilvl="6" w:tplc="CF428F74" w:tentative="1">
      <w:start w:val="1"/>
      <w:numFmt w:val="bullet"/>
      <w:lvlText w:val=""/>
      <w:lvlJc w:val="left"/>
      <w:pPr>
        <w:ind w:left="5040" w:hanging="360"/>
      </w:pPr>
      <w:rPr>
        <w:rFonts w:ascii="Symbol" w:hAnsi="Symbol" w:hint="default"/>
      </w:rPr>
    </w:lvl>
    <w:lvl w:ilvl="7" w:tplc="F8209E9C" w:tentative="1">
      <w:start w:val="1"/>
      <w:numFmt w:val="bullet"/>
      <w:lvlText w:val="o"/>
      <w:lvlJc w:val="left"/>
      <w:pPr>
        <w:ind w:left="5760" w:hanging="360"/>
      </w:pPr>
      <w:rPr>
        <w:rFonts w:ascii="Courier New" w:hAnsi="Courier New" w:cs="Courier New" w:hint="default"/>
      </w:rPr>
    </w:lvl>
    <w:lvl w:ilvl="8" w:tplc="570E10BE" w:tentative="1">
      <w:start w:val="1"/>
      <w:numFmt w:val="bullet"/>
      <w:lvlText w:val=""/>
      <w:lvlJc w:val="left"/>
      <w:pPr>
        <w:ind w:left="6480" w:hanging="360"/>
      </w:pPr>
      <w:rPr>
        <w:rFonts w:ascii="Wingdings" w:hAnsi="Wingdings" w:hint="default"/>
      </w:rPr>
    </w:lvl>
  </w:abstractNum>
  <w:abstractNum w:abstractNumId="6"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7" w15:restartNumberingAfterBreak="0">
    <w:nsid w:val="35862186"/>
    <w:multiLevelType w:val="hybridMultilevel"/>
    <w:tmpl w:val="9C1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C6097"/>
    <w:multiLevelType w:val="hybridMultilevel"/>
    <w:tmpl w:val="2C703CBC"/>
    <w:lvl w:ilvl="0" w:tplc="B080950E">
      <w:start w:val="12"/>
      <w:numFmt w:val="decimal"/>
      <w:lvlText w:val="%1."/>
      <w:lvlJc w:val="left"/>
      <w:pPr>
        <w:ind w:left="360" w:hanging="360"/>
      </w:pPr>
      <w:rPr>
        <w:rFonts w:hint="default"/>
      </w:rPr>
    </w:lvl>
    <w:lvl w:ilvl="1" w:tplc="C64CDB46">
      <w:start w:val="1"/>
      <w:numFmt w:val="lowerLetter"/>
      <w:lvlText w:val="%2."/>
      <w:lvlJc w:val="left"/>
      <w:pPr>
        <w:ind w:left="1080" w:hanging="360"/>
      </w:pPr>
    </w:lvl>
    <w:lvl w:ilvl="2" w:tplc="CD966BDC" w:tentative="1">
      <w:start w:val="1"/>
      <w:numFmt w:val="lowerRoman"/>
      <w:lvlText w:val="%3."/>
      <w:lvlJc w:val="right"/>
      <w:pPr>
        <w:ind w:left="1800" w:hanging="180"/>
      </w:pPr>
    </w:lvl>
    <w:lvl w:ilvl="3" w:tplc="50AC2F04" w:tentative="1">
      <w:start w:val="1"/>
      <w:numFmt w:val="decimal"/>
      <w:lvlText w:val="%4."/>
      <w:lvlJc w:val="left"/>
      <w:pPr>
        <w:ind w:left="2520" w:hanging="360"/>
      </w:pPr>
    </w:lvl>
    <w:lvl w:ilvl="4" w:tplc="FB162BCE" w:tentative="1">
      <w:start w:val="1"/>
      <w:numFmt w:val="lowerLetter"/>
      <w:lvlText w:val="%5."/>
      <w:lvlJc w:val="left"/>
      <w:pPr>
        <w:ind w:left="3240" w:hanging="360"/>
      </w:pPr>
    </w:lvl>
    <w:lvl w:ilvl="5" w:tplc="F54C1BEE" w:tentative="1">
      <w:start w:val="1"/>
      <w:numFmt w:val="lowerRoman"/>
      <w:lvlText w:val="%6."/>
      <w:lvlJc w:val="right"/>
      <w:pPr>
        <w:ind w:left="3960" w:hanging="180"/>
      </w:pPr>
    </w:lvl>
    <w:lvl w:ilvl="6" w:tplc="C4FA30FA" w:tentative="1">
      <w:start w:val="1"/>
      <w:numFmt w:val="decimal"/>
      <w:lvlText w:val="%7."/>
      <w:lvlJc w:val="left"/>
      <w:pPr>
        <w:ind w:left="4680" w:hanging="360"/>
      </w:pPr>
    </w:lvl>
    <w:lvl w:ilvl="7" w:tplc="5ECE5FE4" w:tentative="1">
      <w:start w:val="1"/>
      <w:numFmt w:val="lowerLetter"/>
      <w:lvlText w:val="%8."/>
      <w:lvlJc w:val="left"/>
      <w:pPr>
        <w:ind w:left="5400" w:hanging="360"/>
      </w:pPr>
    </w:lvl>
    <w:lvl w:ilvl="8" w:tplc="40FC8180" w:tentative="1">
      <w:start w:val="1"/>
      <w:numFmt w:val="lowerRoman"/>
      <w:lvlText w:val="%9."/>
      <w:lvlJc w:val="right"/>
      <w:pPr>
        <w:ind w:left="6120" w:hanging="180"/>
      </w:pPr>
    </w:lvl>
  </w:abstractNum>
  <w:abstractNum w:abstractNumId="9" w15:restartNumberingAfterBreak="0">
    <w:nsid w:val="3C6D684E"/>
    <w:multiLevelType w:val="hybridMultilevel"/>
    <w:tmpl w:val="CB10A35A"/>
    <w:lvl w:ilvl="0" w:tplc="2058515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527F8E"/>
    <w:multiLevelType w:val="hybridMultilevel"/>
    <w:tmpl w:val="97B47DFE"/>
    <w:lvl w:ilvl="0" w:tplc="9B1270E4">
      <w:start w:val="1"/>
      <w:numFmt w:val="bullet"/>
      <w:lvlText w:val=""/>
      <w:lvlJc w:val="left"/>
      <w:pPr>
        <w:ind w:left="720" w:hanging="360"/>
      </w:pPr>
      <w:rPr>
        <w:rFonts w:ascii="Symbol" w:hAnsi="Symbol" w:hint="default"/>
      </w:rPr>
    </w:lvl>
    <w:lvl w:ilvl="1" w:tplc="357E84BA" w:tentative="1">
      <w:start w:val="1"/>
      <w:numFmt w:val="bullet"/>
      <w:lvlText w:val="o"/>
      <w:lvlJc w:val="left"/>
      <w:pPr>
        <w:ind w:left="1440" w:hanging="360"/>
      </w:pPr>
      <w:rPr>
        <w:rFonts w:ascii="Courier New" w:hAnsi="Courier New" w:cs="Courier New" w:hint="default"/>
      </w:rPr>
    </w:lvl>
    <w:lvl w:ilvl="2" w:tplc="53F41854" w:tentative="1">
      <w:start w:val="1"/>
      <w:numFmt w:val="bullet"/>
      <w:lvlText w:val=""/>
      <w:lvlJc w:val="left"/>
      <w:pPr>
        <w:ind w:left="2160" w:hanging="360"/>
      </w:pPr>
      <w:rPr>
        <w:rFonts w:ascii="Wingdings" w:hAnsi="Wingdings" w:hint="default"/>
      </w:rPr>
    </w:lvl>
    <w:lvl w:ilvl="3" w:tplc="B5D09440" w:tentative="1">
      <w:start w:val="1"/>
      <w:numFmt w:val="bullet"/>
      <w:lvlText w:val=""/>
      <w:lvlJc w:val="left"/>
      <w:pPr>
        <w:ind w:left="2880" w:hanging="360"/>
      </w:pPr>
      <w:rPr>
        <w:rFonts w:ascii="Symbol" w:hAnsi="Symbol" w:hint="default"/>
      </w:rPr>
    </w:lvl>
    <w:lvl w:ilvl="4" w:tplc="DB6200D4" w:tentative="1">
      <w:start w:val="1"/>
      <w:numFmt w:val="bullet"/>
      <w:lvlText w:val="o"/>
      <w:lvlJc w:val="left"/>
      <w:pPr>
        <w:ind w:left="3600" w:hanging="360"/>
      </w:pPr>
      <w:rPr>
        <w:rFonts w:ascii="Courier New" w:hAnsi="Courier New" w:cs="Courier New" w:hint="default"/>
      </w:rPr>
    </w:lvl>
    <w:lvl w:ilvl="5" w:tplc="08DA0110" w:tentative="1">
      <w:start w:val="1"/>
      <w:numFmt w:val="bullet"/>
      <w:lvlText w:val=""/>
      <w:lvlJc w:val="left"/>
      <w:pPr>
        <w:ind w:left="4320" w:hanging="360"/>
      </w:pPr>
      <w:rPr>
        <w:rFonts w:ascii="Wingdings" w:hAnsi="Wingdings" w:hint="default"/>
      </w:rPr>
    </w:lvl>
    <w:lvl w:ilvl="6" w:tplc="FD6803AE" w:tentative="1">
      <w:start w:val="1"/>
      <w:numFmt w:val="bullet"/>
      <w:lvlText w:val=""/>
      <w:lvlJc w:val="left"/>
      <w:pPr>
        <w:ind w:left="5040" w:hanging="360"/>
      </w:pPr>
      <w:rPr>
        <w:rFonts w:ascii="Symbol" w:hAnsi="Symbol" w:hint="default"/>
      </w:rPr>
    </w:lvl>
    <w:lvl w:ilvl="7" w:tplc="7578DA96" w:tentative="1">
      <w:start w:val="1"/>
      <w:numFmt w:val="bullet"/>
      <w:lvlText w:val="o"/>
      <w:lvlJc w:val="left"/>
      <w:pPr>
        <w:ind w:left="5760" w:hanging="360"/>
      </w:pPr>
      <w:rPr>
        <w:rFonts w:ascii="Courier New" w:hAnsi="Courier New" w:cs="Courier New" w:hint="default"/>
      </w:rPr>
    </w:lvl>
    <w:lvl w:ilvl="8" w:tplc="668EAC72" w:tentative="1">
      <w:start w:val="1"/>
      <w:numFmt w:val="bullet"/>
      <w:lvlText w:val=""/>
      <w:lvlJc w:val="left"/>
      <w:pPr>
        <w:ind w:left="6480" w:hanging="360"/>
      </w:pPr>
      <w:rPr>
        <w:rFonts w:ascii="Wingdings" w:hAnsi="Wingdings" w:hint="default"/>
      </w:rPr>
    </w:lvl>
  </w:abstractNum>
  <w:abstractNum w:abstractNumId="1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2" w15:restartNumberingAfterBreak="0">
    <w:nsid w:val="605A1E84"/>
    <w:multiLevelType w:val="hybridMultilevel"/>
    <w:tmpl w:val="B48AC1A2"/>
    <w:lvl w:ilvl="0" w:tplc="37D41B8C">
      <w:start w:val="5"/>
      <w:numFmt w:val="decimal"/>
      <w:lvlText w:val="%1."/>
      <w:lvlJc w:val="left"/>
      <w:pPr>
        <w:ind w:left="360" w:hanging="360"/>
      </w:pPr>
      <w:rPr>
        <w:rFonts w:hint="default"/>
      </w:rPr>
    </w:lvl>
    <w:lvl w:ilvl="1" w:tplc="4BB01B4A" w:tentative="1">
      <w:start w:val="1"/>
      <w:numFmt w:val="lowerLetter"/>
      <w:lvlText w:val="%2."/>
      <w:lvlJc w:val="left"/>
      <w:pPr>
        <w:ind w:left="1440" w:hanging="360"/>
      </w:pPr>
    </w:lvl>
    <w:lvl w:ilvl="2" w:tplc="5C08236C" w:tentative="1">
      <w:start w:val="1"/>
      <w:numFmt w:val="lowerRoman"/>
      <w:lvlText w:val="%3."/>
      <w:lvlJc w:val="right"/>
      <w:pPr>
        <w:ind w:left="2160" w:hanging="180"/>
      </w:pPr>
    </w:lvl>
    <w:lvl w:ilvl="3" w:tplc="56F6AFC0" w:tentative="1">
      <w:start w:val="1"/>
      <w:numFmt w:val="decimal"/>
      <w:lvlText w:val="%4."/>
      <w:lvlJc w:val="left"/>
      <w:pPr>
        <w:ind w:left="2880" w:hanging="360"/>
      </w:pPr>
    </w:lvl>
    <w:lvl w:ilvl="4" w:tplc="DB6AFA62" w:tentative="1">
      <w:start w:val="1"/>
      <w:numFmt w:val="lowerLetter"/>
      <w:lvlText w:val="%5."/>
      <w:lvlJc w:val="left"/>
      <w:pPr>
        <w:ind w:left="3600" w:hanging="360"/>
      </w:pPr>
    </w:lvl>
    <w:lvl w:ilvl="5" w:tplc="0DC0021C" w:tentative="1">
      <w:start w:val="1"/>
      <w:numFmt w:val="lowerRoman"/>
      <w:lvlText w:val="%6."/>
      <w:lvlJc w:val="right"/>
      <w:pPr>
        <w:ind w:left="4320" w:hanging="180"/>
      </w:pPr>
    </w:lvl>
    <w:lvl w:ilvl="6" w:tplc="499C4A96" w:tentative="1">
      <w:start w:val="1"/>
      <w:numFmt w:val="decimal"/>
      <w:lvlText w:val="%7."/>
      <w:lvlJc w:val="left"/>
      <w:pPr>
        <w:ind w:left="5040" w:hanging="360"/>
      </w:pPr>
    </w:lvl>
    <w:lvl w:ilvl="7" w:tplc="E3027B14" w:tentative="1">
      <w:start w:val="1"/>
      <w:numFmt w:val="lowerLetter"/>
      <w:lvlText w:val="%8."/>
      <w:lvlJc w:val="left"/>
      <w:pPr>
        <w:ind w:left="5760" w:hanging="360"/>
      </w:pPr>
    </w:lvl>
    <w:lvl w:ilvl="8" w:tplc="2F02D958" w:tentative="1">
      <w:start w:val="1"/>
      <w:numFmt w:val="lowerRoman"/>
      <w:lvlText w:val="%9."/>
      <w:lvlJc w:val="right"/>
      <w:pPr>
        <w:ind w:left="6480" w:hanging="180"/>
      </w:pPr>
    </w:lvl>
  </w:abstractNum>
  <w:abstractNum w:abstractNumId="1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4" w15:restartNumberingAfterBreak="0">
    <w:nsid w:val="66730DF7"/>
    <w:multiLevelType w:val="hybridMultilevel"/>
    <w:tmpl w:val="70C239A0"/>
    <w:lvl w:ilvl="0" w:tplc="DE108AF6">
      <w:start w:val="1"/>
      <w:numFmt w:val="lowerLetter"/>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C302DF1"/>
    <w:multiLevelType w:val="hybridMultilevel"/>
    <w:tmpl w:val="5EC2D15C"/>
    <w:lvl w:ilvl="0" w:tplc="A922104E">
      <w:start w:val="1"/>
      <w:numFmt w:val="bullet"/>
      <w:lvlText w:val=""/>
      <w:lvlJc w:val="left"/>
      <w:pPr>
        <w:ind w:left="840" w:hanging="360"/>
      </w:pPr>
      <w:rPr>
        <w:rFonts w:ascii="Symbol" w:hAnsi="Symbol" w:hint="default"/>
      </w:rPr>
    </w:lvl>
    <w:lvl w:ilvl="1" w:tplc="FF7E1BEC" w:tentative="1">
      <w:start w:val="1"/>
      <w:numFmt w:val="bullet"/>
      <w:lvlText w:val="o"/>
      <w:lvlJc w:val="left"/>
      <w:pPr>
        <w:ind w:left="1560" w:hanging="360"/>
      </w:pPr>
      <w:rPr>
        <w:rFonts w:ascii="Courier New" w:hAnsi="Courier New" w:cs="Courier New" w:hint="default"/>
      </w:rPr>
    </w:lvl>
    <w:lvl w:ilvl="2" w:tplc="B1464FEA" w:tentative="1">
      <w:start w:val="1"/>
      <w:numFmt w:val="bullet"/>
      <w:lvlText w:val=""/>
      <w:lvlJc w:val="left"/>
      <w:pPr>
        <w:ind w:left="2280" w:hanging="360"/>
      </w:pPr>
      <w:rPr>
        <w:rFonts w:ascii="Wingdings" w:hAnsi="Wingdings" w:hint="default"/>
      </w:rPr>
    </w:lvl>
    <w:lvl w:ilvl="3" w:tplc="3A182A78" w:tentative="1">
      <w:start w:val="1"/>
      <w:numFmt w:val="bullet"/>
      <w:lvlText w:val=""/>
      <w:lvlJc w:val="left"/>
      <w:pPr>
        <w:ind w:left="3000" w:hanging="360"/>
      </w:pPr>
      <w:rPr>
        <w:rFonts w:ascii="Symbol" w:hAnsi="Symbol" w:hint="default"/>
      </w:rPr>
    </w:lvl>
    <w:lvl w:ilvl="4" w:tplc="B1664A1E" w:tentative="1">
      <w:start w:val="1"/>
      <w:numFmt w:val="bullet"/>
      <w:lvlText w:val="o"/>
      <w:lvlJc w:val="left"/>
      <w:pPr>
        <w:ind w:left="3720" w:hanging="360"/>
      </w:pPr>
      <w:rPr>
        <w:rFonts w:ascii="Courier New" w:hAnsi="Courier New" w:cs="Courier New" w:hint="default"/>
      </w:rPr>
    </w:lvl>
    <w:lvl w:ilvl="5" w:tplc="B34017DA" w:tentative="1">
      <w:start w:val="1"/>
      <w:numFmt w:val="bullet"/>
      <w:lvlText w:val=""/>
      <w:lvlJc w:val="left"/>
      <w:pPr>
        <w:ind w:left="4440" w:hanging="360"/>
      </w:pPr>
      <w:rPr>
        <w:rFonts w:ascii="Wingdings" w:hAnsi="Wingdings" w:hint="default"/>
      </w:rPr>
    </w:lvl>
    <w:lvl w:ilvl="6" w:tplc="4772476C" w:tentative="1">
      <w:start w:val="1"/>
      <w:numFmt w:val="bullet"/>
      <w:lvlText w:val=""/>
      <w:lvlJc w:val="left"/>
      <w:pPr>
        <w:ind w:left="5160" w:hanging="360"/>
      </w:pPr>
      <w:rPr>
        <w:rFonts w:ascii="Symbol" w:hAnsi="Symbol" w:hint="default"/>
      </w:rPr>
    </w:lvl>
    <w:lvl w:ilvl="7" w:tplc="58064368" w:tentative="1">
      <w:start w:val="1"/>
      <w:numFmt w:val="bullet"/>
      <w:lvlText w:val="o"/>
      <w:lvlJc w:val="left"/>
      <w:pPr>
        <w:ind w:left="5880" w:hanging="360"/>
      </w:pPr>
      <w:rPr>
        <w:rFonts w:ascii="Courier New" w:hAnsi="Courier New" w:cs="Courier New" w:hint="default"/>
      </w:rPr>
    </w:lvl>
    <w:lvl w:ilvl="8" w:tplc="82821BE2" w:tentative="1">
      <w:start w:val="1"/>
      <w:numFmt w:val="bullet"/>
      <w:lvlText w:val=""/>
      <w:lvlJc w:val="left"/>
      <w:pPr>
        <w:ind w:left="6600" w:hanging="360"/>
      </w:pPr>
      <w:rPr>
        <w:rFonts w:ascii="Wingdings" w:hAnsi="Wingdings" w:hint="default"/>
      </w:rPr>
    </w:lvl>
  </w:abstractNum>
  <w:abstractNum w:abstractNumId="16" w15:restartNumberingAfterBreak="0">
    <w:nsid w:val="6CCB6861"/>
    <w:multiLevelType w:val="multilevel"/>
    <w:tmpl w:val="D44AB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731329"/>
    <w:multiLevelType w:val="hybridMultilevel"/>
    <w:tmpl w:val="A4F4BE66"/>
    <w:lvl w:ilvl="0" w:tplc="237C93DC">
      <w:start w:val="1"/>
      <w:numFmt w:val="decimal"/>
      <w:lvlText w:val="%1."/>
      <w:lvlJc w:val="left"/>
      <w:pPr>
        <w:ind w:left="360" w:hanging="360"/>
      </w:pPr>
      <w:rPr>
        <w:rFonts w:hint="default"/>
      </w:rPr>
    </w:lvl>
    <w:lvl w:ilvl="1" w:tplc="DFD0AF62" w:tentative="1">
      <w:start w:val="1"/>
      <w:numFmt w:val="lowerLetter"/>
      <w:lvlText w:val="%2."/>
      <w:lvlJc w:val="left"/>
      <w:pPr>
        <w:ind w:left="1080" w:hanging="360"/>
      </w:pPr>
    </w:lvl>
    <w:lvl w:ilvl="2" w:tplc="C3CAA92C" w:tentative="1">
      <w:start w:val="1"/>
      <w:numFmt w:val="lowerRoman"/>
      <w:lvlText w:val="%3."/>
      <w:lvlJc w:val="right"/>
      <w:pPr>
        <w:ind w:left="1800" w:hanging="180"/>
      </w:pPr>
    </w:lvl>
    <w:lvl w:ilvl="3" w:tplc="AF7E0E3C" w:tentative="1">
      <w:start w:val="1"/>
      <w:numFmt w:val="decimal"/>
      <w:lvlText w:val="%4."/>
      <w:lvlJc w:val="left"/>
      <w:pPr>
        <w:ind w:left="2520" w:hanging="360"/>
      </w:pPr>
    </w:lvl>
    <w:lvl w:ilvl="4" w:tplc="8D462720" w:tentative="1">
      <w:start w:val="1"/>
      <w:numFmt w:val="lowerLetter"/>
      <w:lvlText w:val="%5."/>
      <w:lvlJc w:val="left"/>
      <w:pPr>
        <w:ind w:left="3240" w:hanging="360"/>
      </w:pPr>
    </w:lvl>
    <w:lvl w:ilvl="5" w:tplc="4498E9C8" w:tentative="1">
      <w:start w:val="1"/>
      <w:numFmt w:val="lowerRoman"/>
      <w:lvlText w:val="%6."/>
      <w:lvlJc w:val="right"/>
      <w:pPr>
        <w:ind w:left="3960" w:hanging="180"/>
      </w:pPr>
    </w:lvl>
    <w:lvl w:ilvl="6" w:tplc="2E0E13A4" w:tentative="1">
      <w:start w:val="1"/>
      <w:numFmt w:val="decimal"/>
      <w:lvlText w:val="%7."/>
      <w:lvlJc w:val="left"/>
      <w:pPr>
        <w:ind w:left="4680" w:hanging="360"/>
      </w:pPr>
    </w:lvl>
    <w:lvl w:ilvl="7" w:tplc="E8FEEEA0" w:tentative="1">
      <w:start w:val="1"/>
      <w:numFmt w:val="lowerLetter"/>
      <w:lvlText w:val="%8."/>
      <w:lvlJc w:val="left"/>
      <w:pPr>
        <w:ind w:left="5400" w:hanging="360"/>
      </w:pPr>
    </w:lvl>
    <w:lvl w:ilvl="8" w:tplc="FA7CF99C" w:tentative="1">
      <w:start w:val="1"/>
      <w:numFmt w:val="lowerRoman"/>
      <w:lvlText w:val="%9."/>
      <w:lvlJc w:val="right"/>
      <w:pPr>
        <w:ind w:left="6120" w:hanging="180"/>
      </w:pPr>
    </w:lvl>
  </w:abstractNum>
  <w:abstractNum w:abstractNumId="18" w15:restartNumberingAfterBreak="0">
    <w:nsid w:val="79324488"/>
    <w:multiLevelType w:val="hybridMultilevel"/>
    <w:tmpl w:val="BCB4EB58"/>
    <w:lvl w:ilvl="0" w:tplc="9F586D42">
      <w:start w:val="1"/>
      <w:numFmt w:val="bullet"/>
      <w:lvlText w:val=""/>
      <w:lvlJc w:val="left"/>
      <w:pPr>
        <w:ind w:left="720" w:hanging="360"/>
      </w:pPr>
      <w:rPr>
        <w:rFonts w:ascii="Symbol" w:hAnsi="Symbol" w:hint="default"/>
      </w:rPr>
    </w:lvl>
    <w:lvl w:ilvl="1" w:tplc="00144062" w:tentative="1">
      <w:start w:val="1"/>
      <w:numFmt w:val="bullet"/>
      <w:lvlText w:val="o"/>
      <w:lvlJc w:val="left"/>
      <w:pPr>
        <w:ind w:left="1440" w:hanging="360"/>
      </w:pPr>
      <w:rPr>
        <w:rFonts w:ascii="Courier New" w:hAnsi="Courier New" w:cs="Courier New" w:hint="default"/>
      </w:rPr>
    </w:lvl>
    <w:lvl w:ilvl="2" w:tplc="3F089042" w:tentative="1">
      <w:start w:val="1"/>
      <w:numFmt w:val="bullet"/>
      <w:lvlText w:val=""/>
      <w:lvlJc w:val="left"/>
      <w:pPr>
        <w:ind w:left="2160" w:hanging="360"/>
      </w:pPr>
      <w:rPr>
        <w:rFonts w:ascii="Wingdings" w:hAnsi="Wingdings" w:hint="default"/>
      </w:rPr>
    </w:lvl>
    <w:lvl w:ilvl="3" w:tplc="967ED4AC" w:tentative="1">
      <w:start w:val="1"/>
      <w:numFmt w:val="bullet"/>
      <w:lvlText w:val=""/>
      <w:lvlJc w:val="left"/>
      <w:pPr>
        <w:ind w:left="2880" w:hanging="360"/>
      </w:pPr>
      <w:rPr>
        <w:rFonts w:ascii="Symbol" w:hAnsi="Symbol" w:hint="default"/>
      </w:rPr>
    </w:lvl>
    <w:lvl w:ilvl="4" w:tplc="5082E8CC" w:tentative="1">
      <w:start w:val="1"/>
      <w:numFmt w:val="bullet"/>
      <w:lvlText w:val="o"/>
      <w:lvlJc w:val="left"/>
      <w:pPr>
        <w:ind w:left="3600" w:hanging="360"/>
      </w:pPr>
      <w:rPr>
        <w:rFonts w:ascii="Courier New" w:hAnsi="Courier New" w:cs="Courier New" w:hint="default"/>
      </w:rPr>
    </w:lvl>
    <w:lvl w:ilvl="5" w:tplc="9028D1D4" w:tentative="1">
      <w:start w:val="1"/>
      <w:numFmt w:val="bullet"/>
      <w:lvlText w:val=""/>
      <w:lvlJc w:val="left"/>
      <w:pPr>
        <w:ind w:left="4320" w:hanging="360"/>
      </w:pPr>
      <w:rPr>
        <w:rFonts w:ascii="Wingdings" w:hAnsi="Wingdings" w:hint="default"/>
      </w:rPr>
    </w:lvl>
    <w:lvl w:ilvl="6" w:tplc="2B5CEE56" w:tentative="1">
      <w:start w:val="1"/>
      <w:numFmt w:val="bullet"/>
      <w:lvlText w:val=""/>
      <w:lvlJc w:val="left"/>
      <w:pPr>
        <w:ind w:left="5040" w:hanging="360"/>
      </w:pPr>
      <w:rPr>
        <w:rFonts w:ascii="Symbol" w:hAnsi="Symbol" w:hint="default"/>
      </w:rPr>
    </w:lvl>
    <w:lvl w:ilvl="7" w:tplc="F31E89F0" w:tentative="1">
      <w:start w:val="1"/>
      <w:numFmt w:val="bullet"/>
      <w:lvlText w:val="o"/>
      <w:lvlJc w:val="left"/>
      <w:pPr>
        <w:ind w:left="5760" w:hanging="360"/>
      </w:pPr>
      <w:rPr>
        <w:rFonts w:ascii="Courier New" w:hAnsi="Courier New" w:cs="Courier New" w:hint="default"/>
      </w:rPr>
    </w:lvl>
    <w:lvl w:ilvl="8" w:tplc="20FCCDCA" w:tentative="1">
      <w:start w:val="1"/>
      <w:numFmt w:val="bullet"/>
      <w:lvlText w:val=""/>
      <w:lvlJc w:val="left"/>
      <w:pPr>
        <w:ind w:left="6480" w:hanging="360"/>
      </w:pPr>
      <w:rPr>
        <w:rFonts w:ascii="Wingdings" w:hAnsi="Wingdings" w:hint="default"/>
      </w:rPr>
    </w:lvl>
  </w:abstractNum>
  <w:abstractNum w:abstractNumId="19" w15:restartNumberingAfterBreak="0">
    <w:nsid w:val="7A096E52"/>
    <w:multiLevelType w:val="hybridMultilevel"/>
    <w:tmpl w:val="CB10A35A"/>
    <w:lvl w:ilvl="0" w:tplc="2058515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2"/>
  </w:num>
  <w:num w:numId="16">
    <w:abstractNumId w:val="17"/>
  </w:num>
  <w:num w:numId="17">
    <w:abstractNumId w:val="8"/>
  </w:num>
  <w:num w:numId="18">
    <w:abstractNumId w:val="4"/>
  </w:num>
  <w:num w:numId="19">
    <w:abstractNumId w:val="12"/>
  </w:num>
  <w:num w:numId="20">
    <w:abstractNumId w:val="18"/>
  </w:num>
  <w:num w:numId="21">
    <w:abstractNumId w:val="10"/>
  </w:num>
  <w:num w:numId="22">
    <w:abstractNumId w:val="15"/>
  </w:num>
  <w:num w:numId="23">
    <w:abstractNumId w:val="5"/>
  </w:num>
  <w:num w:numId="24">
    <w:abstractNumId w:val="16"/>
  </w:num>
  <w:num w:numId="25">
    <w:abstractNumId w:val="14"/>
  </w:num>
  <w:num w:numId="26">
    <w:abstractNumId w:val="9"/>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D56437"/>
    <w:rsid w:val="00012773"/>
    <w:rsid w:val="000234DF"/>
    <w:rsid w:val="00057352"/>
    <w:rsid w:val="00090EFB"/>
    <w:rsid w:val="000A66BA"/>
    <w:rsid w:val="000F549C"/>
    <w:rsid w:val="00114EEF"/>
    <w:rsid w:val="001211B0"/>
    <w:rsid w:val="00126B91"/>
    <w:rsid w:val="00147925"/>
    <w:rsid w:val="00147EDA"/>
    <w:rsid w:val="00171AC1"/>
    <w:rsid w:val="00186342"/>
    <w:rsid w:val="00195347"/>
    <w:rsid w:val="001A0975"/>
    <w:rsid w:val="001A6744"/>
    <w:rsid w:val="001E7365"/>
    <w:rsid w:val="0023207A"/>
    <w:rsid w:val="00242800"/>
    <w:rsid w:val="00243A18"/>
    <w:rsid w:val="00284892"/>
    <w:rsid w:val="00293D97"/>
    <w:rsid w:val="002E392E"/>
    <w:rsid w:val="003021DB"/>
    <w:rsid w:val="003310F8"/>
    <w:rsid w:val="0033636B"/>
    <w:rsid w:val="00344A33"/>
    <w:rsid w:val="00377DCF"/>
    <w:rsid w:val="003A508B"/>
    <w:rsid w:val="003C7423"/>
    <w:rsid w:val="003E289D"/>
    <w:rsid w:val="003E78E1"/>
    <w:rsid w:val="003F239E"/>
    <w:rsid w:val="003F68F0"/>
    <w:rsid w:val="00401B05"/>
    <w:rsid w:val="00452680"/>
    <w:rsid w:val="00455A30"/>
    <w:rsid w:val="004714FD"/>
    <w:rsid w:val="00497E1E"/>
    <w:rsid w:val="005116D2"/>
    <w:rsid w:val="005166B6"/>
    <w:rsid w:val="00543092"/>
    <w:rsid w:val="005640BD"/>
    <w:rsid w:val="00580CB1"/>
    <w:rsid w:val="005853EF"/>
    <w:rsid w:val="005965DF"/>
    <w:rsid w:val="005A686E"/>
    <w:rsid w:val="005B6D4E"/>
    <w:rsid w:val="005C165D"/>
    <w:rsid w:val="005F16DE"/>
    <w:rsid w:val="00607562"/>
    <w:rsid w:val="00622AAB"/>
    <w:rsid w:val="006505E1"/>
    <w:rsid w:val="006611DA"/>
    <w:rsid w:val="0066458D"/>
    <w:rsid w:val="00665A98"/>
    <w:rsid w:val="00673BF2"/>
    <w:rsid w:val="00676C70"/>
    <w:rsid w:val="006900B1"/>
    <w:rsid w:val="006A1BCC"/>
    <w:rsid w:val="006B6184"/>
    <w:rsid w:val="006B6936"/>
    <w:rsid w:val="006C3173"/>
    <w:rsid w:val="006D0F06"/>
    <w:rsid w:val="007054C0"/>
    <w:rsid w:val="007144CD"/>
    <w:rsid w:val="00720796"/>
    <w:rsid w:val="00734358"/>
    <w:rsid w:val="00753A91"/>
    <w:rsid w:val="007573F4"/>
    <w:rsid w:val="007766C1"/>
    <w:rsid w:val="00782C9D"/>
    <w:rsid w:val="007A2B19"/>
    <w:rsid w:val="007A6C49"/>
    <w:rsid w:val="007A6EF9"/>
    <w:rsid w:val="007C048B"/>
    <w:rsid w:val="007D2250"/>
    <w:rsid w:val="007D693B"/>
    <w:rsid w:val="0080301F"/>
    <w:rsid w:val="008103E7"/>
    <w:rsid w:val="00815E14"/>
    <w:rsid w:val="00816141"/>
    <w:rsid w:val="00852176"/>
    <w:rsid w:val="008C5A25"/>
    <w:rsid w:val="00900D5C"/>
    <w:rsid w:val="00921478"/>
    <w:rsid w:val="00942A49"/>
    <w:rsid w:val="00944C2A"/>
    <w:rsid w:val="009470DF"/>
    <w:rsid w:val="00960062"/>
    <w:rsid w:val="009848B0"/>
    <w:rsid w:val="009F7839"/>
    <w:rsid w:val="009F7C28"/>
    <w:rsid w:val="00A140BA"/>
    <w:rsid w:val="00A75445"/>
    <w:rsid w:val="00A812C5"/>
    <w:rsid w:val="00A87843"/>
    <w:rsid w:val="00AC0679"/>
    <w:rsid w:val="00AC2E8D"/>
    <w:rsid w:val="00AC62F5"/>
    <w:rsid w:val="00B163E0"/>
    <w:rsid w:val="00B4221A"/>
    <w:rsid w:val="00B60E9D"/>
    <w:rsid w:val="00B62248"/>
    <w:rsid w:val="00B63E2A"/>
    <w:rsid w:val="00B670EB"/>
    <w:rsid w:val="00B7735A"/>
    <w:rsid w:val="00B81056"/>
    <w:rsid w:val="00BB687D"/>
    <w:rsid w:val="00BF0B8D"/>
    <w:rsid w:val="00C023F0"/>
    <w:rsid w:val="00C165C0"/>
    <w:rsid w:val="00C34064"/>
    <w:rsid w:val="00C37E9F"/>
    <w:rsid w:val="00C41A04"/>
    <w:rsid w:val="00C571B2"/>
    <w:rsid w:val="00C60EEF"/>
    <w:rsid w:val="00C72003"/>
    <w:rsid w:val="00C96668"/>
    <w:rsid w:val="00CA2689"/>
    <w:rsid w:val="00CA4B5A"/>
    <w:rsid w:val="00D07B62"/>
    <w:rsid w:val="00D10A3E"/>
    <w:rsid w:val="00D35A58"/>
    <w:rsid w:val="00D37B79"/>
    <w:rsid w:val="00D52B04"/>
    <w:rsid w:val="00D56437"/>
    <w:rsid w:val="00D81559"/>
    <w:rsid w:val="00D90200"/>
    <w:rsid w:val="00DC3791"/>
    <w:rsid w:val="00DC6D9D"/>
    <w:rsid w:val="00DF2CF4"/>
    <w:rsid w:val="00DF40E3"/>
    <w:rsid w:val="00E004CF"/>
    <w:rsid w:val="00E36A82"/>
    <w:rsid w:val="00E558DA"/>
    <w:rsid w:val="00E9641E"/>
    <w:rsid w:val="00EA2A08"/>
    <w:rsid w:val="00EB7750"/>
    <w:rsid w:val="00ED14FE"/>
    <w:rsid w:val="00EE648E"/>
    <w:rsid w:val="00F01ADD"/>
    <w:rsid w:val="00F117F5"/>
    <w:rsid w:val="00F2676C"/>
    <w:rsid w:val="00F31067"/>
    <w:rsid w:val="00F317E1"/>
    <w:rsid w:val="00F6066D"/>
    <w:rsid w:val="00F766AF"/>
    <w:rsid w:val="00F7763A"/>
    <w:rsid w:val="00F85CB0"/>
    <w:rsid w:val="00F97C55"/>
    <w:rsid w:val="00FA54BB"/>
    <w:rsid w:val="00FB0BF4"/>
    <w:rsid w:val="00FB7A4C"/>
    <w:rsid w:val="00FF3B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FEF060-8D94-4B64-8944-ED5B093E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43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1056"/>
    <w:pPr>
      <w:tabs>
        <w:tab w:val="center" w:pos="4513"/>
        <w:tab w:val="right" w:pos="9026"/>
      </w:tabs>
    </w:pPr>
  </w:style>
  <w:style w:type="character" w:customStyle="1" w:styleId="HeaderChar">
    <w:name w:val="Header Char"/>
    <w:link w:val="Header"/>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rsid w:val="005166B6"/>
    <w:pPr>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D35A58"/>
    <w:pPr>
      <w:numPr>
        <w:numId w:val="3"/>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ascii="Verdana" w:eastAsia="Verdana" w:hAnsi="Verdana" w:cs="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eastAsia="en-GB"/>
    </w:rPr>
  </w:style>
  <w:style w:type="paragraph" w:customStyle="1" w:styleId="DocsubtitleAgency">
    <w:name w:val="Doc subtitle (Agency)"/>
    <w:basedOn w:val="Normal"/>
    <w:next w:val="BodytextAgency"/>
    <w:qFormat/>
    <w:rsid w:val="00D35A58"/>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qFormat/>
    <w:rsid w:val="00D35A58"/>
    <w:pPr>
      <w:spacing w:after="140" w:line="280" w:lineRule="atLeast"/>
    </w:pPr>
    <w:rPr>
      <w:rFonts w:ascii="Courier New" w:eastAsia="Verdana" w:hAnsi="Courier New"/>
      <w:i/>
      <w:color w:val="339966"/>
      <w:szCs w:val="18"/>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ascii="Verdana" w:eastAsia="Verdana" w:hAnsi="Verdana" w:cs="Verdana"/>
      <w:sz w:val="15"/>
      <w:szCs w:val="18"/>
      <w:lang w:eastAsia="en-GB"/>
    </w:rPr>
  </w:style>
  <w:style w:type="paragraph" w:customStyle="1" w:styleId="FigureAgency">
    <w:name w:val="Figure (Agency)"/>
    <w:basedOn w:val="Normal"/>
    <w:next w:val="BodytextAgency"/>
    <w:semiHidden/>
    <w:rsid w:val="00D35A58"/>
    <w:pPr>
      <w:jc w:val="center"/>
    </w:pPr>
    <w:rPr>
      <w:rFonts w:ascii="Verdana" w:hAnsi="Verdana" w:cs="Verdana"/>
      <w:sz w:val="18"/>
      <w:szCs w:val="18"/>
    </w:rPr>
  </w:style>
  <w:style w:type="paragraph" w:customStyle="1" w:styleId="FigureheadingAgency">
    <w:name w:val="Figure heading (Agency)"/>
    <w:basedOn w:val="Normal"/>
    <w:next w:val="FigureAgency"/>
    <w:semiHidden/>
    <w:rsid w:val="00D35A58"/>
    <w:pPr>
      <w:keepNext/>
      <w:numPr>
        <w:numId w:val="4"/>
      </w:numPr>
      <w:spacing w:before="240" w:after="120"/>
    </w:pPr>
    <w:rPr>
      <w:rFonts w:ascii="Verdana" w:hAnsi="Verdana" w:cs="Verdana"/>
      <w:sz w:val="18"/>
      <w:szCs w:val="18"/>
    </w:rPr>
  </w:style>
  <w:style w:type="paragraph" w:customStyle="1" w:styleId="FooterAgency">
    <w:name w:val="Footer (Agency)"/>
    <w:basedOn w:val="Normal"/>
    <w:link w:val="FooterAgencyCharChar"/>
    <w:rsid w:val="00377DCF"/>
    <w:rPr>
      <w:rFonts w:ascii="Verdana" w:eastAsia="Verdana" w:hAnsi="Verdana" w:cs="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D56437"/>
    <w:rPr>
      <w:rFonts w:ascii="Verdana" w:eastAsia="Verdana" w:hAnsi="Verdana" w:cs="Verdana"/>
      <w:b/>
      <w:color w:val="003399"/>
      <w:sz w:val="13"/>
      <w:szCs w:val="14"/>
      <w:lang w:eastAsia="en-GB"/>
    </w:rPr>
  </w:style>
  <w:style w:type="character" w:customStyle="1" w:styleId="FooterblueAgencyCharChar">
    <w:name w:val="Footer blue (Agency) Char Char"/>
    <w:link w:val="FooterblueAgency"/>
    <w:rsid w:val="00D35A58"/>
    <w:rPr>
      <w:rFonts w:ascii="Verdana" w:eastAsia="Verdana" w:hAnsi="Verdana" w:cs="Verdana"/>
      <w:b/>
      <w:color w:val="003399"/>
      <w:sz w:val="13"/>
      <w:szCs w:val="14"/>
      <w:lang w:eastAsia="en-GB"/>
    </w:rPr>
  </w:style>
  <w:style w:type="table" w:customStyle="1" w:styleId="FootertableAgency">
    <w:name w:val="Footer table (Agency)"/>
    <w:basedOn w:val="TableNormal"/>
    <w:semiHidden/>
    <w:rsid w:val="00D35A58"/>
    <w:rPr>
      <w:rFonts w:ascii="Verdana" w:hAnsi="Verdana"/>
    </w:rPr>
    <w:tblPr/>
    <w:tcPr>
      <w:shd w:val="clear" w:color="auto" w:fill="auto"/>
      <w:tcMar>
        <w:left w:w="0" w:type="dxa"/>
        <w:right w:w="0" w:type="dxa"/>
      </w:tcMar>
    </w:tcPr>
    <w:tblStylePr w:type="firstRow">
      <w:rPr>
        <w:rFonts w:ascii="Simsun (Founder Extended)" w:hAnsi="Simsun (Founder Extende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ascii="Verdana" w:eastAsia="Verdana" w:hAnsi="Verdana" w:cs="Verdana"/>
      <w:sz w:val="15"/>
      <w:szCs w:val="18"/>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qFormat/>
    <w:rsid w:val="00D35A58"/>
    <w:pPr>
      <w:keepNext/>
      <w:numPr>
        <w:numId w:val="13"/>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13"/>
      </w:numPr>
      <w:spacing w:before="280" w:after="220"/>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13"/>
      </w:numPr>
      <w:spacing w:before="280" w:after="220"/>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 w:val="18"/>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ascii="Verdana" w:eastAsia="Verdana" w:hAnsi="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eastAsia="en-GB"/>
    </w:rPr>
  </w:style>
  <w:style w:type="paragraph" w:customStyle="1" w:styleId="No-TOCheadingAgency">
    <w:name w:val="No-TOC heading (Agency)"/>
    <w:basedOn w:val="Normal"/>
    <w:next w:val="BodytextAgency"/>
    <w:qFormat/>
    <w:rsid w:val="00D35A58"/>
    <w:pPr>
      <w:keepNext/>
      <w:spacing w:before="280" w:after="220"/>
    </w:pPr>
    <w:rPr>
      <w:rFonts w:ascii="Verdana" w:eastAsia="Times New Roman" w:hAnsi="Verdana" w:cs="Arial"/>
      <w:b/>
      <w:kern w:val="32"/>
      <w:sz w:val="27"/>
      <w:szCs w:val="27"/>
      <w:lang w:eastAsia="en-GB"/>
    </w:rPr>
  </w:style>
  <w:style w:type="numbering" w:customStyle="1" w:styleId="NumberlistAgency">
    <w:name w:val="Number list (Agency)"/>
    <w:basedOn w:val="NoList"/>
    <w:rsid w:val="00D35A58"/>
    <w:pPr>
      <w:numPr>
        <w:numId w:val="14"/>
      </w:numPr>
    </w:pPr>
  </w:style>
  <w:style w:type="paragraph" w:customStyle="1" w:styleId="PagenumberAgency">
    <w:name w:val="Page number (Agency)"/>
    <w:basedOn w:val="Normal"/>
    <w:next w:val="Normal"/>
    <w:link w:val="PagenumberAgencyCharChar"/>
    <w:rsid w:val="00D35A58"/>
    <w:pPr>
      <w:tabs>
        <w:tab w:val="right" w:pos="9781"/>
      </w:tabs>
      <w:jc w:val="right"/>
    </w:pPr>
    <w:rPr>
      <w:rFonts w:ascii="Verdana" w:eastAsia="Verdana" w:hAnsi="Verdana" w:cs="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rsid w:val="00D35A58"/>
    <w:rPr>
      <w:rFonts w:ascii="Verdana" w:eastAsia="Times New Roman" w:hAnsi="Verdana"/>
      <w:sz w:val="17"/>
      <w:szCs w:val="18"/>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E36A8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Simsun (Founder Extended)" w:hAnsi="Simsun (Founder Extende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15"/>
      </w:numPr>
      <w:spacing w:before="240" w:after="120"/>
    </w:pPr>
    <w:rPr>
      <w:rFonts w:ascii="Verdana" w:hAnsi="Verdana" w:cs="Verdana"/>
      <w:sz w:val="18"/>
      <w:szCs w:val="18"/>
    </w:rPr>
  </w:style>
  <w:style w:type="paragraph" w:customStyle="1" w:styleId="TableheadingrowsAgency">
    <w:name w:val="Table heading rows (Agency)"/>
    <w:basedOn w:val="BodytextAgency"/>
    <w:semiHidden/>
    <w:rsid w:val="00D35A58"/>
    <w:pPr>
      <w:keepNext/>
    </w:pPr>
    <w:rPr>
      <w:rFonts w:eastAsia="Times New Roman"/>
      <w:b/>
    </w:rPr>
  </w:style>
  <w:style w:type="paragraph" w:customStyle="1" w:styleId="TabletextrowsAgency">
    <w:name w:val="Table text rows (Agency)"/>
    <w:basedOn w:val="Normal"/>
    <w:semiHidden/>
    <w:rsid w:val="00D35A58"/>
    <w:pPr>
      <w:spacing w:line="280" w:lineRule="exact"/>
    </w:pPr>
    <w:rPr>
      <w:rFonts w:ascii="Verdana" w:eastAsia="Times New Roman" w:hAnsi="Verdana" w:cs="Verdana"/>
      <w:sz w:val="18"/>
      <w:szCs w:val="18"/>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rsid w:val="00B81056"/>
    <w:pPr>
      <w:tabs>
        <w:tab w:val="center" w:pos="4513"/>
        <w:tab w:val="right" w:pos="9026"/>
      </w:tabs>
    </w:pPr>
  </w:style>
  <w:style w:type="character" w:customStyle="1" w:styleId="FooterChar">
    <w:name w:val="Footer Char"/>
    <w:link w:val="Footer"/>
    <w:rsid w:val="00B81056"/>
    <w:rPr>
      <w:sz w:val="22"/>
      <w:lang w:eastAsia="zh-CN"/>
    </w:rPr>
  </w:style>
  <w:style w:type="paragraph" w:styleId="BalloonText">
    <w:name w:val="Balloon Text"/>
    <w:basedOn w:val="Normal"/>
    <w:link w:val="BalloonTextChar"/>
    <w:rsid w:val="00D56437"/>
    <w:rPr>
      <w:rFonts w:ascii="Tahoma" w:hAnsi="Tahoma" w:cs="Tahoma"/>
      <w:sz w:val="16"/>
      <w:szCs w:val="16"/>
    </w:rPr>
  </w:style>
  <w:style w:type="character" w:customStyle="1" w:styleId="BalloonTextChar">
    <w:name w:val="Balloon Text Char"/>
    <w:basedOn w:val="DefaultParagraphFont"/>
    <w:link w:val="BalloonText"/>
    <w:rsid w:val="00D56437"/>
    <w:rPr>
      <w:rFonts w:ascii="Tahoma" w:hAnsi="Tahoma" w:cs="Tahoma"/>
      <w:sz w:val="16"/>
      <w:szCs w:val="16"/>
    </w:rPr>
  </w:style>
  <w:style w:type="character" w:customStyle="1" w:styleId="ListParagraphChar">
    <w:name w:val="List Paragraph Char"/>
    <w:basedOn w:val="DefaultParagraphFont"/>
    <w:link w:val="ListParagraph"/>
    <w:uiPriority w:val="34"/>
    <w:locked/>
    <w:rsid w:val="00D56437"/>
  </w:style>
  <w:style w:type="paragraph" w:styleId="ListParagraph">
    <w:name w:val="List Paragraph"/>
    <w:basedOn w:val="Normal"/>
    <w:link w:val="ListParagraphChar"/>
    <w:uiPriority w:val="34"/>
    <w:qFormat/>
    <w:rsid w:val="00D56437"/>
    <w:pPr>
      <w:spacing w:after="200" w:line="276" w:lineRule="auto"/>
      <w:ind w:left="720"/>
      <w:contextualSpacing/>
    </w:pPr>
    <w:rPr>
      <w:sz w:val="20"/>
    </w:rPr>
  </w:style>
  <w:style w:type="character" w:customStyle="1" w:styleId="PageNumberAgency0">
    <w:name w:val="Page Number (Agency)"/>
    <w:rsid w:val="00377DCF"/>
    <w:rPr>
      <w:rFonts w:ascii="Verdana" w:hAnsi="Verdana"/>
      <w:sz w:val="14"/>
    </w:rPr>
  </w:style>
  <w:style w:type="character" w:styleId="CommentReference">
    <w:name w:val="annotation reference"/>
    <w:basedOn w:val="DefaultParagraphFont"/>
    <w:rsid w:val="006611DA"/>
    <w:rPr>
      <w:sz w:val="16"/>
      <w:szCs w:val="16"/>
    </w:rPr>
  </w:style>
  <w:style w:type="paragraph" w:styleId="CommentText">
    <w:name w:val="annotation text"/>
    <w:basedOn w:val="Normal"/>
    <w:link w:val="CommentTextChar"/>
    <w:rsid w:val="006611DA"/>
    <w:rPr>
      <w:sz w:val="20"/>
    </w:rPr>
  </w:style>
  <w:style w:type="character" w:customStyle="1" w:styleId="CommentTextChar">
    <w:name w:val="Comment Text Char"/>
    <w:basedOn w:val="DefaultParagraphFont"/>
    <w:link w:val="CommentText"/>
    <w:rsid w:val="006611DA"/>
  </w:style>
  <w:style w:type="paragraph" w:styleId="CommentSubject">
    <w:name w:val="annotation subject"/>
    <w:basedOn w:val="CommentText"/>
    <w:next w:val="CommentText"/>
    <w:link w:val="CommentSubjectChar"/>
    <w:rsid w:val="006611DA"/>
    <w:rPr>
      <w:b/>
      <w:bCs/>
    </w:rPr>
  </w:style>
  <w:style w:type="character" w:customStyle="1" w:styleId="CommentSubjectChar">
    <w:name w:val="Comment Subject Char"/>
    <w:basedOn w:val="CommentTextChar"/>
    <w:link w:val="CommentSubject"/>
    <w:rsid w:val="006611DA"/>
    <w:rPr>
      <w:b/>
      <w:bCs/>
    </w:rPr>
  </w:style>
  <w:style w:type="character" w:styleId="Hyperlink">
    <w:name w:val="Hyperlink"/>
    <w:basedOn w:val="DefaultParagraphFont"/>
    <w:uiPriority w:val="99"/>
    <w:rsid w:val="007766C1"/>
    <w:rPr>
      <w:color w:val="0000FF" w:themeColor="hyperlink"/>
      <w:u w:val="single"/>
    </w:rPr>
  </w:style>
  <w:style w:type="paragraph" w:styleId="FootnoteText">
    <w:name w:val="footnote text"/>
    <w:basedOn w:val="Normal"/>
    <w:link w:val="FootnoteTextChar"/>
    <w:uiPriority w:val="99"/>
    <w:unhideWhenUsed/>
    <w:rsid w:val="00D10A3E"/>
    <w:rPr>
      <w:rFonts w:asciiTheme="minorHAnsi" w:hAnsiTheme="minorHAnsi" w:cstheme="minorBidi"/>
      <w:sz w:val="20"/>
      <w:lang w:val="nl-NL"/>
    </w:rPr>
  </w:style>
  <w:style w:type="character" w:customStyle="1" w:styleId="FootnoteTextChar">
    <w:name w:val="Footnote Text Char"/>
    <w:basedOn w:val="DefaultParagraphFont"/>
    <w:link w:val="FootnoteText"/>
    <w:uiPriority w:val="99"/>
    <w:rsid w:val="00D10A3E"/>
    <w:rPr>
      <w:rFonts w:asciiTheme="minorHAnsi" w:hAnsiTheme="minorHAnsi" w:cstheme="minorBidi"/>
      <w:lang w:val="nl-NL"/>
    </w:rPr>
  </w:style>
  <w:style w:type="character" w:styleId="FootnoteReference">
    <w:name w:val="footnote reference"/>
    <w:basedOn w:val="DefaultParagraphFont"/>
    <w:uiPriority w:val="99"/>
    <w:unhideWhenUsed/>
    <w:rsid w:val="00D10A3E"/>
    <w:rPr>
      <w:vertAlign w:val="superscript"/>
    </w:rPr>
  </w:style>
  <w:style w:type="character" w:customStyle="1" w:styleId="apple-converted-space">
    <w:name w:val="apple-converted-space"/>
    <w:basedOn w:val="DefaultParagraphFont"/>
    <w:rsid w:val="00F1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1067">
      <w:bodyDiv w:val="1"/>
      <w:marLeft w:val="0"/>
      <w:marRight w:val="0"/>
      <w:marTop w:val="0"/>
      <w:marBottom w:val="0"/>
      <w:divBdr>
        <w:top w:val="none" w:sz="0" w:space="0" w:color="auto"/>
        <w:left w:val="none" w:sz="0" w:space="0" w:color="auto"/>
        <w:bottom w:val="none" w:sz="0" w:space="0" w:color="auto"/>
        <w:right w:val="none" w:sz="0" w:space="0" w:color="auto"/>
      </w:divBdr>
    </w:div>
    <w:div w:id="468743199">
      <w:bodyDiv w:val="1"/>
      <w:marLeft w:val="0"/>
      <w:marRight w:val="0"/>
      <w:marTop w:val="0"/>
      <w:marBottom w:val="0"/>
      <w:divBdr>
        <w:top w:val="none" w:sz="0" w:space="0" w:color="auto"/>
        <w:left w:val="none" w:sz="0" w:space="0" w:color="auto"/>
        <w:bottom w:val="none" w:sz="0" w:space="0" w:color="auto"/>
        <w:right w:val="none" w:sz="0" w:space="0" w:color="auto"/>
      </w:divBdr>
    </w:div>
    <w:div w:id="624653312">
      <w:bodyDiv w:val="1"/>
      <w:marLeft w:val="0"/>
      <w:marRight w:val="0"/>
      <w:marTop w:val="0"/>
      <w:marBottom w:val="0"/>
      <w:divBdr>
        <w:top w:val="none" w:sz="0" w:space="0" w:color="auto"/>
        <w:left w:val="none" w:sz="0" w:space="0" w:color="auto"/>
        <w:bottom w:val="none" w:sz="0" w:space="0" w:color="auto"/>
        <w:right w:val="none" w:sz="0" w:space="0" w:color="auto"/>
      </w:divBdr>
    </w:div>
    <w:div w:id="643777923">
      <w:bodyDiv w:val="1"/>
      <w:marLeft w:val="0"/>
      <w:marRight w:val="0"/>
      <w:marTop w:val="0"/>
      <w:marBottom w:val="0"/>
      <w:divBdr>
        <w:top w:val="none" w:sz="0" w:space="0" w:color="auto"/>
        <w:left w:val="none" w:sz="0" w:space="0" w:color="auto"/>
        <w:bottom w:val="none" w:sz="0" w:space="0" w:color="auto"/>
        <w:right w:val="none" w:sz="0" w:space="0" w:color="auto"/>
      </w:divBdr>
    </w:div>
    <w:div w:id="696085019">
      <w:bodyDiv w:val="1"/>
      <w:marLeft w:val="0"/>
      <w:marRight w:val="0"/>
      <w:marTop w:val="0"/>
      <w:marBottom w:val="0"/>
      <w:divBdr>
        <w:top w:val="none" w:sz="0" w:space="0" w:color="auto"/>
        <w:left w:val="none" w:sz="0" w:space="0" w:color="auto"/>
        <w:bottom w:val="none" w:sz="0" w:space="0" w:color="auto"/>
        <w:right w:val="none" w:sz="0" w:space="0" w:color="auto"/>
      </w:divBdr>
    </w:div>
    <w:div w:id="708189003">
      <w:bodyDiv w:val="1"/>
      <w:marLeft w:val="0"/>
      <w:marRight w:val="0"/>
      <w:marTop w:val="0"/>
      <w:marBottom w:val="0"/>
      <w:divBdr>
        <w:top w:val="none" w:sz="0" w:space="0" w:color="auto"/>
        <w:left w:val="none" w:sz="0" w:space="0" w:color="auto"/>
        <w:bottom w:val="none" w:sz="0" w:space="0" w:color="auto"/>
        <w:right w:val="none" w:sz="0" w:space="0" w:color="auto"/>
      </w:divBdr>
    </w:div>
    <w:div w:id="777333641">
      <w:bodyDiv w:val="1"/>
      <w:marLeft w:val="0"/>
      <w:marRight w:val="0"/>
      <w:marTop w:val="0"/>
      <w:marBottom w:val="0"/>
      <w:divBdr>
        <w:top w:val="none" w:sz="0" w:space="0" w:color="auto"/>
        <w:left w:val="none" w:sz="0" w:space="0" w:color="auto"/>
        <w:bottom w:val="none" w:sz="0" w:space="0" w:color="auto"/>
        <w:right w:val="none" w:sz="0" w:space="0" w:color="auto"/>
      </w:divBdr>
    </w:div>
    <w:div w:id="787158975">
      <w:bodyDiv w:val="1"/>
      <w:marLeft w:val="0"/>
      <w:marRight w:val="0"/>
      <w:marTop w:val="0"/>
      <w:marBottom w:val="0"/>
      <w:divBdr>
        <w:top w:val="none" w:sz="0" w:space="0" w:color="auto"/>
        <w:left w:val="none" w:sz="0" w:space="0" w:color="auto"/>
        <w:bottom w:val="none" w:sz="0" w:space="0" w:color="auto"/>
        <w:right w:val="none" w:sz="0" w:space="0" w:color="auto"/>
      </w:divBdr>
    </w:div>
    <w:div w:id="804741526">
      <w:bodyDiv w:val="1"/>
      <w:marLeft w:val="0"/>
      <w:marRight w:val="0"/>
      <w:marTop w:val="0"/>
      <w:marBottom w:val="0"/>
      <w:divBdr>
        <w:top w:val="none" w:sz="0" w:space="0" w:color="auto"/>
        <w:left w:val="none" w:sz="0" w:space="0" w:color="auto"/>
        <w:bottom w:val="none" w:sz="0" w:space="0" w:color="auto"/>
        <w:right w:val="none" w:sz="0" w:space="0" w:color="auto"/>
      </w:divBdr>
    </w:div>
    <w:div w:id="860125722">
      <w:bodyDiv w:val="1"/>
      <w:marLeft w:val="0"/>
      <w:marRight w:val="0"/>
      <w:marTop w:val="0"/>
      <w:marBottom w:val="0"/>
      <w:divBdr>
        <w:top w:val="none" w:sz="0" w:space="0" w:color="auto"/>
        <w:left w:val="none" w:sz="0" w:space="0" w:color="auto"/>
        <w:bottom w:val="none" w:sz="0" w:space="0" w:color="auto"/>
        <w:right w:val="none" w:sz="0" w:space="0" w:color="auto"/>
      </w:divBdr>
    </w:div>
    <w:div w:id="1014919281">
      <w:bodyDiv w:val="1"/>
      <w:marLeft w:val="0"/>
      <w:marRight w:val="0"/>
      <w:marTop w:val="0"/>
      <w:marBottom w:val="0"/>
      <w:divBdr>
        <w:top w:val="none" w:sz="0" w:space="0" w:color="auto"/>
        <w:left w:val="none" w:sz="0" w:space="0" w:color="auto"/>
        <w:bottom w:val="none" w:sz="0" w:space="0" w:color="auto"/>
        <w:right w:val="none" w:sz="0" w:space="0" w:color="auto"/>
      </w:divBdr>
    </w:div>
    <w:div w:id="1019165563">
      <w:bodyDiv w:val="1"/>
      <w:marLeft w:val="0"/>
      <w:marRight w:val="0"/>
      <w:marTop w:val="0"/>
      <w:marBottom w:val="0"/>
      <w:divBdr>
        <w:top w:val="none" w:sz="0" w:space="0" w:color="auto"/>
        <w:left w:val="none" w:sz="0" w:space="0" w:color="auto"/>
        <w:bottom w:val="none" w:sz="0" w:space="0" w:color="auto"/>
        <w:right w:val="none" w:sz="0" w:space="0" w:color="auto"/>
      </w:divBdr>
    </w:div>
    <w:div w:id="1072384822">
      <w:bodyDiv w:val="1"/>
      <w:marLeft w:val="0"/>
      <w:marRight w:val="0"/>
      <w:marTop w:val="0"/>
      <w:marBottom w:val="0"/>
      <w:divBdr>
        <w:top w:val="none" w:sz="0" w:space="0" w:color="auto"/>
        <w:left w:val="none" w:sz="0" w:space="0" w:color="auto"/>
        <w:bottom w:val="none" w:sz="0" w:space="0" w:color="auto"/>
        <w:right w:val="none" w:sz="0" w:space="0" w:color="auto"/>
      </w:divBdr>
    </w:div>
    <w:div w:id="1192259807">
      <w:bodyDiv w:val="1"/>
      <w:marLeft w:val="0"/>
      <w:marRight w:val="0"/>
      <w:marTop w:val="0"/>
      <w:marBottom w:val="0"/>
      <w:divBdr>
        <w:top w:val="none" w:sz="0" w:space="0" w:color="auto"/>
        <w:left w:val="none" w:sz="0" w:space="0" w:color="auto"/>
        <w:bottom w:val="none" w:sz="0" w:space="0" w:color="auto"/>
        <w:right w:val="none" w:sz="0" w:space="0" w:color="auto"/>
      </w:divBdr>
    </w:div>
    <w:div w:id="1209688135">
      <w:bodyDiv w:val="1"/>
      <w:marLeft w:val="0"/>
      <w:marRight w:val="0"/>
      <w:marTop w:val="0"/>
      <w:marBottom w:val="0"/>
      <w:divBdr>
        <w:top w:val="none" w:sz="0" w:space="0" w:color="auto"/>
        <w:left w:val="none" w:sz="0" w:space="0" w:color="auto"/>
        <w:bottom w:val="none" w:sz="0" w:space="0" w:color="auto"/>
        <w:right w:val="none" w:sz="0" w:space="0" w:color="auto"/>
      </w:divBdr>
    </w:div>
    <w:div w:id="13455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Regulatory_and_procedural_guideline/2017/11/WC50023936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Regulatory_and_procedural_guideline/2017/11/WC50023936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Regulatory_and_procedural_guideline/2017/11/WC500239369.pdf" TargetMode="External"/><Relationship Id="rId4" Type="http://schemas.openxmlformats.org/officeDocument/2006/relationships/settings" Target="settings.xml"/><Relationship Id="rId9" Type="http://schemas.openxmlformats.org/officeDocument/2006/relationships/hyperlink" Target="http://www.ema.europa.eu/docs/en_GB/document_library/Regulatory_and_procedural_guideline/2017/11/WC500239369.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ma.europa.eu/contac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68E74AEE-4BFB-4A9B-BB94-E2BDD902F0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3683</Words>
  <Characters>20996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Agenda item #4. Industry List of questions</vt:lpstr>
    </vt:vector>
  </TitlesOfParts>
  <Company>European Medicines Agency</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 Industry List of questions</dc:title>
  <dc:creator>European Medicines Agency</dc:creator>
  <cp:lastModifiedBy>Christelle Anquez-Traxler</cp:lastModifiedBy>
  <cp:revision>2</cp:revision>
  <cp:lastPrinted>2018-03-13T15:42:00Z</cp:lastPrinted>
  <dcterms:created xsi:type="dcterms:W3CDTF">2018-03-29T15:46:00Z</dcterms:created>
  <dcterms:modified xsi:type="dcterms:W3CDTF">2018-03-29T15:46:00Z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19/03/2018 11:41:39</vt:lpwstr>
  </property>
  <property fmtid="{D5CDD505-2E9C-101B-9397-08002B2CF9AE}" pid="5" name="DM_Creator_Name">
    <vt:lpwstr>Synodinou Aliki</vt:lpwstr>
  </property>
  <property fmtid="{D5CDD505-2E9C-101B-9397-08002B2CF9AE}" pid="6" name="DM_DocRefId">
    <vt:lpwstr>EMA/167192/2018</vt:lpwstr>
  </property>
  <property fmtid="{D5CDD505-2E9C-101B-9397-08002B2CF9AE}" pid="7" name="DM_emea_doc_ref_id">
    <vt:lpwstr>EMA/167192/2018</vt:lpwstr>
  </property>
  <property fmtid="{D5CDD505-2E9C-101B-9397-08002B2CF9AE}" pid="8" name="DM_Keywords">
    <vt:lpwstr/>
  </property>
  <property fmtid="{D5CDD505-2E9C-101B-9397-08002B2CF9AE}" pid="9" name="DM_Language">
    <vt:lpwstr/>
  </property>
  <property fmtid="{D5CDD505-2E9C-101B-9397-08002B2CF9AE}" pid="10" name="DM_Modifer_Name">
    <vt:lpwstr>Synodinou Aliki</vt:lpwstr>
  </property>
  <property fmtid="{D5CDD505-2E9C-101B-9397-08002B2CF9AE}" pid="11" name="DM_Modified_Date">
    <vt:lpwstr>23/03/2018 08:45:13</vt:lpwstr>
  </property>
  <property fmtid="{D5CDD505-2E9C-101B-9397-08002B2CF9AE}" pid="12" name="DM_Modifier_Name">
    <vt:lpwstr>Synodinou Aliki</vt:lpwstr>
  </property>
  <property fmtid="{D5CDD505-2E9C-101B-9397-08002B2CF9AE}" pid="13" name="DM_Modify_Date">
    <vt:lpwstr>23/03/2018 08:45:13</vt:lpwstr>
  </property>
  <property fmtid="{D5CDD505-2E9C-101B-9397-08002B2CF9AE}" pid="14" name="DM_Name">
    <vt:lpwstr>Agenda item #4. Industry List of questions</vt:lpwstr>
  </property>
  <property fmtid="{D5CDD505-2E9C-101B-9397-08002B2CF9AE}" pid="15" name="DM_Path">
    <vt:lpwstr>/09. Relationship management and communication/09.1 Stakeholder liaison/08 Interactions with interested parties/Industry stakeholders (Human)/Multilateral/4. Topic related information-meetings/BREXIT/Meetings/2018/2018-03-23 Industry Stakeholder meeting o</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1.2,CURRENT</vt:lpwstr>
  </property>
  <property fmtid="{D5CDD505-2E9C-101B-9397-08002B2CF9AE}" pid="21" name="docIndexRef">
    <vt:lpwstr>f01a9369-18bb-4d96-be35-e8f85f90cd63</vt:lpwstr>
  </property>
  <property fmtid="{D5CDD505-2E9C-101B-9397-08002B2CF9AE}" pid="22" name="bjSaver">
    <vt:lpwstr>5jnsiBCXA4dHzlwLh/RCCbvTuafN5W2U</vt:lpwstr>
  </property>
  <property fmtid="{D5CDD505-2E9C-101B-9397-08002B2CF9AE}" pid="23" name="_NewReviewCycle">
    <vt:lpwstr/>
  </property>
  <property fmtid="{D5CDD505-2E9C-101B-9397-08002B2CF9AE}" pid="2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25" name="bjDocumentLabelXML-0">
    <vt:lpwstr>nternal/label"&gt;&lt;element uid="9920fcc9-9f43-4d43-9e3e-b98a219cfd55" value="" /&gt;&lt;/sisl&gt;</vt:lpwstr>
  </property>
  <property fmtid="{D5CDD505-2E9C-101B-9397-08002B2CF9AE}" pid="26" name="bjDocumentSecurityLabel">
    <vt:lpwstr>Not Classified</vt:lpwstr>
  </property>
</Properties>
</file>